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80"/>
        <w:jc w:val="center"/>
      </w:pPr>
      <w:r>
        <w:rPr>
          <w:rFonts w:ascii="Arial" w:cs="Arial" w:eastAsia="Arial" w:hAnsi="Arial"/>
          <w:b/>
          <w:bCs/>
          <w:color w:val="2E75B6"/>
          <w:spacing w:val="200"/>
          <w:sz w:val="20"/>
          <w:szCs w:val="20"/>
        </w:rPr>
        <w:t xml:space="preserve">OPTUMIZE</w:t>
      </w:r>
    </w:p>
    <w:p>
      <w:pPr>
        <w:spacing w:after="40"/>
        <w:jc w:val="center"/>
      </w:pPr>
      <w:r>
        <w:rPr>
          <w:rFonts w:ascii="Arial" w:cs="Arial" w:eastAsia="Arial" w:hAnsi="Arial"/>
          <w:i/>
          <w:iCs/>
          <w:color w:val="4A5568"/>
          <w:sz w:val="18"/>
          <w:szCs w:val="18"/>
        </w:rPr>
        <w:t xml:space="preserve">Automation Consulting</w:t>
      </w:r>
    </w:p>
    <w:p>
      <w:pPr>
        <w:pBdr>
          <w:top w:val="single" w:color="2E75B6" w:sz="4" w:space="12"/>
        </w:pBdr>
        <w:spacing w:after="120" w:before="600"/>
        <w:jc w:val="center"/>
      </w:pPr>
    </w:p>
    <w:p>
      <w:pPr>
        <w:spacing w:after="120"/>
        <w:jc w:val="center"/>
      </w:pPr>
      <w:r>
        <w:rPr>
          <w:rFonts w:ascii="Arial" w:cs="Arial" w:eastAsia="Arial" w:hAnsi="Arial"/>
          <w:b/>
          <w:bCs/>
          <w:color w:val="1B3A5C"/>
          <w:sz w:val="48"/>
          <w:szCs w:val="48"/>
        </w:rPr>
        <w:t xml:space="preserve">ROI &amp; Time Savings Projection</w:t>
      </w:r>
    </w:p>
    <w:p>
      <w:pPr>
        <w:spacing w:after="400"/>
        <w:jc w:val="center"/>
      </w:pPr>
      <w:r>
        <w:rPr>
          <w:rFonts w:ascii="Arial" w:cs="Arial" w:eastAsia="Arial" w:hAnsi="Arial"/>
          <w:color w:val="4A5568"/>
          <w:sz w:val="24"/>
          <w:szCs w:val="24"/>
        </w:rPr>
        <w:t xml:space="preserve">Boss Heavy  ·  Photography &amp; Videography Services</w:t>
      </w:r>
    </w:p>
    <w:p>
      <w:pPr>
        <w:pBdr>
          <w:bottom w:val="single" w:color="2E75B6" w:sz="4" w:space="12"/>
        </w:pBdr>
        <w:spacing w:before="200"/>
        <w:jc w:val="center"/>
      </w:pPr>
    </w:p>
    <w:p>
      <w:pPr>
        <w:spacing w:after="40" w:before="600"/>
        <w:jc w:val="center"/>
      </w:pPr>
      <w:r>
        <w:rPr>
          <w:rFonts w:ascii="Arial" w:cs="Arial" w:eastAsia="Arial" w:hAnsi="Arial"/>
          <w:color w:val="4A5568"/>
          <w:sz w:val="18"/>
          <w:szCs w:val="18"/>
        </w:rPr>
        <w:t xml:space="preserve">Prepared for</w:t>
      </w:r>
    </w:p>
    <w:p>
      <w:pPr>
        <w:spacing w:after="200"/>
        <w:jc w:val="center"/>
      </w:pPr>
      <w:r>
        <w:rPr>
          <w:rFonts w:ascii="Arial" w:cs="Arial" w:eastAsia="Arial" w:hAnsi="Arial"/>
          <w:b/>
          <w:bCs/>
          <w:color w:val="1B3A5C"/>
          <w:sz w:val="22"/>
          <w:szCs w:val="22"/>
        </w:rPr>
        <w:t xml:space="preserve">Swift  —  Founder &amp; Creative Director</w:t>
      </w:r>
    </w:p>
    <w:p>
      <w:pPr>
        <w:spacing w:after="40"/>
        <w:jc w:val="center"/>
      </w:pPr>
      <w:r>
        <w:rPr>
          <w:rFonts w:ascii="Arial" w:cs="Arial" w:eastAsia="Arial" w:hAnsi="Arial"/>
          <w:color w:val="4A5568"/>
          <w:sz w:val="18"/>
          <w:szCs w:val="18"/>
        </w:rPr>
        <w:t xml:space="preserve">Prepared by</w:t>
      </w:r>
    </w:p>
    <w:p>
      <w:pPr>
        <w:spacing w:after="200"/>
        <w:jc w:val="center"/>
      </w:pPr>
      <w:r>
        <w:rPr>
          <w:rFonts w:ascii="Arial" w:cs="Arial" w:eastAsia="Arial" w:hAnsi="Arial"/>
          <w:b/>
          <w:bCs/>
          <w:color w:val="1B3A5C"/>
          <w:sz w:val="22"/>
          <w:szCs w:val="22"/>
        </w:rPr>
        <w:t xml:space="preserve">Alex Johnson  —  Optumize</w:t>
      </w:r>
    </w:p>
    <w:p>
      <w:pPr>
        <w:spacing w:before="400"/>
        <w:jc w:val="center"/>
      </w:pPr>
      <w:r>
        <w:rPr>
          <w:rFonts w:ascii="Arial" w:cs="Arial" w:eastAsia="Arial" w:hAnsi="Arial"/>
          <w:color w:val="4A5568"/>
          <w:sz w:val="18"/>
          <w:szCs w:val="18"/>
        </w:rPr>
        <w:t xml:space="preserve">April 2026  ·  Confidential</w:t>
      </w:r>
    </w:p>
    <w:p>
      <w:r>
        <w:br w:type="page"/>
      </w:r>
    </w:p>
    <w:p>
      <w:pPr>
        <w:pStyle w:val="Heading1"/>
        <w:spacing w:after="200" w:before="240"/>
      </w:pPr>
      <w:r>
        <w:rPr>
          <w:rFonts w:ascii="Arial" w:cs="Arial" w:eastAsia="Arial" w:hAnsi="Arial"/>
          <w:b/>
          <w:bCs/>
          <w:color w:val="1B3A5C"/>
          <w:sz w:val="32"/>
          <w:szCs w:val="32"/>
        </w:rPr>
        <w:t xml:space="preserve">The Bottom Line</w:t>
      </w:r>
    </w:p>
    <w:p>
      <w:pPr>
        <w:pBdr>
          <w:left w:val="single" w:color="16A34A" w:sz="12" w:space="8"/>
        </w:pBdr>
        <w:shd w:fill="F0FDF4" w:val="clear"/>
        <w:spacing w:after="40" w:before="160"/>
        <w:ind w:left="360" w:right="360"/>
      </w:pPr>
      <w:r>
        <w:rPr>
          <w:rFonts w:ascii="Arial" w:cs="Arial" w:eastAsia="Arial" w:hAnsi="Arial"/>
          <w:b/>
          <w:bCs/>
          <w:color w:val="4A5568"/>
          <w:sz w:val="18"/>
          <w:szCs w:val="18"/>
        </w:rPr>
        <w:t xml:space="preserve">Hours Lost Per Month    </w:t>
      </w:r>
      <w:r>
        <w:rPr>
          <w:rFonts w:ascii="Arial" w:cs="Arial" w:eastAsia="Arial" w:hAnsi="Arial"/>
          <w:b/>
          <w:bCs/>
          <w:color w:val="1B3A5C"/>
          <w:sz w:val="28"/>
          <w:szCs w:val="28"/>
        </w:rPr>
        <w:t xml:space="preserve">28–36 hrs</w:t>
      </w:r>
    </w:p>
    <w:p>
      <w:pPr>
        <w:pBdr>
          <w:left w:val="single" w:color="16A34A" w:sz="12" w:space="8"/>
        </w:pBdr>
        <w:shd w:fill="F0FDF4" w:val="clear"/>
        <w:spacing w:after="160" w:before="0"/>
        <w:ind w:left="360" w:right="360"/>
      </w:pPr>
      <w:r>
        <w:rPr>
          <w:rFonts w:ascii="Arial" w:cs="Arial" w:eastAsia="Arial" w:hAnsi="Arial"/>
          <w:color w:val="4A5568"/>
          <w:sz w:val="18"/>
          <w:szCs w:val="18"/>
        </w:rPr>
        <w:t xml:space="preserve">Time spent on manual lead handling, follow-up, scheduling, and redundant platform management that automation eliminates.</w:t>
      </w:r>
    </w:p>
    <w:p>
      <w:pPr>
        <w:pBdr>
          <w:left w:val="single" w:color="16A34A" w:sz="12" w:space="8"/>
        </w:pBdr>
        <w:shd w:fill="F0FDF4" w:val="clear"/>
        <w:spacing w:after="40" w:before="160"/>
        <w:ind w:left="360" w:right="360"/>
      </w:pPr>
      <w:r>
        <w:rPr>
          <w:rFonts w:ascii="Arial" w:cs="Arial" w:eastAsia="Arial" w:hAnsi="Arial"/>
          <w:b/>
          <w:bCs/>
          <w:color w:val="4A5568"/>
          <w:sz w:val="18"/>
          <w:szCs w:val="18"/>
        </w:rPr>
        <w:t xml:space="preserve">Monthly Cost of Inefficiency    </w:t>
      </w:r>
      <w:r>
        <w:rPr>
          <w:rFonts w:ascii="Arial" w:cs="Arial" w:eastAsia="Arial" w:hAnsi="Arial"/>
          <w:b/>
          <w:bCs/>
          <w:color w:val="1B3A5C"/>
          <w:sz w:val="28"/>
          <w:szCs w:val="28"/>
        </w:rPr>
        <w:t xml:space="preserve">$4,200–$6,600</w:t>
      </w:r>
    </w:p>
    <w:p>
      <w:pPr>
        <w:pBdr>
          <w:left w:val="single" w:color="16A34A" w:sz="12" w:space="8"/>
        </w:pBdr>
        <w:shd w:fill="F0FDF4" w:val="clear"/>
        <w:spacing w:after="160" w:before="0"/>
        <w:ind w:left="360" w:right="360"/>
      </w:pPr>
      <w:r>
        <w:rPr>
          <w:rFonts w:ascii="Arial" w:cs="Arial" w:eastAsia="Arial" w:hAnsi="Arial"/>
          <w:color w:val="4A5568"/>
          <w:sz w:val="18"/>
          <w:szCs w:val="18"/>
        </w:rPr>
        <w:t xml:space="preserve">Combination of Swift’s time at opportunity cost ($75–$100/hr) plus lost deals from leads that go cold without follow-up.</w:t>
      </w:r>
    </w:p>
    <w:p>
      <w:pPr>
        <w:pBdr>
          <w:left w:val="single" w:color="16A34A" w:sz="12" w:space="8"/>
        </w:pBdr>
        <w:shd w:fill="F0FDF4" w:val="clear"/>
        <w:spacing w:after="40" w:before="160"/>
        <w:ind w:left="360" w:right="360"/>
      </w:pPr>
      <w:r>
        <w:rPr>
          <w:rFonts w:ascii="Arial" w:cs="Arial" w:eastAsia="Arial" w:hAnsi="Arial"/>
          <w:b/>
          <w:bCs/>
          <w:color w:val="4A5568"/>
          <w:sz w:val="18"/>
          <w:szCs w:val="18"/>
        </w:rPr>
        <w:t xml:space="preserve">Projected Monthly Savings    </w:t>
      </w:r>
      <w:r>
        <w:rPr>
          <w:rFonts w:ascii="Arial" w:cs="Arial" w:eastAsia="Arial" w:hAnsi="Arial"/>
          <w:b/>
          <w:bCs/>
          <w:color w:val="1B3A5C"/>
          <w:sz w:val="28"/>
          <w:szCs w:val="28"/>
        </w:rPr>
        <w:t xml:space="preserve">$7,000–$12,000</w:t>
      </w:r>
    </w:p>
    <w:p>
      <w:pPr>
        <w:pBdr>
          <w:left w:val="single" w:color="16A34A" w:sz="12" w:space="8"/>
        </w:pBdr>
        <w:shd w:fill="F0FDF4" w:val="clear"/>
        <w:spacing w:after="160" w:before="0"/>
        <w:ind w:left="360" w:right="360"/>
      </w:pPr>
      <w:r>
        <w:rPr>
          <w:rFonts w:ascii="Arial" w:cs="Arial" w:eastAsia="Arial" w:hAnsi="Arial"/>
          <w:color w:val="4A5568"/>
          <w:sz w:val="18"/>
          <w:szCs w:val="18"/>
        </w:rPr>
        <w:t xml:space="preserve">Recovered time value plus revenue from an estimated 1–2 additional retainer clients per month captured through automated lead flow.</w:t>
      </w:r>
    </w:p>
    <w:p>
      <w:pPr>
        <w:pBdr>
          <w:left w:val="single" w:color="16A34A" w:sz="12" w:space="8"/>
        </w:pBdr>
        <w:shd w:fill="F0FDF4" w:val="clear"/>
        <w:spacing w:after="40" w:before="160"/>
        <w:ind w:left="360" w:right="360"/>
      </w:pPr>
      <w:r>
        <w:rPr>
          <w:rFonts w:ascii="Arial" w:cs="Arial" w:eastAsia="Arial" w:hAnsi="Arial"/>
          <w:b/>
          <w:bCs/>
          <w:color w:val="4A5568"/>
          <w:sz w:val="18"/>
          <w:szCs w:val="18"/>
        </w:rPr>
        <w:t xml:space="preserve">Payback Period    </w:t>
      </w:r>
      <w:r>
        <w:rPr>
          <w:rFonts w:ascii="Arial" w:cs="Arial" w:eastAsia="Arial" w:hAnsi="Arial"/>
          <w:b/>
          <w:bCs/>
          <w:color w:val="1B3A5C"/>
          <w:sz w:val="28"/>
          <w:szCs w:val="28"/>
        </w:rPr>
        <w:t xml:space="preserve">1–2 months</w:t>
      </w:r>
    </w:p>
    <w:p>
      <w:pPr>
        <w:pBdr>
          <w:left w:val="single" w:color="16A34A" w:sz="12" w:space="8"/>
        </w:pBdr>
        <w:shd w:fill="F0FDF4" w:val="clear"/>
        <w:spacing w:after="160" w:before="0"/>
        <w:ind w:left="360" w:right="360"/>
      </w:pPr>
      <w:r>
        <w:rPr>
          <w:rFonts w:ascii="Arial" w:cs="Arial" w:eastAsia="Arial" w:hAnsi="Arial"/>
          <w:color w:val="4A5568"/>
          <w:sz w:val="18"/>
          <w:szCs w:val="18"/>
        </w:rPr>
        <w:t xml:space="preserve">One new retainer client ($3,000–$5,000/month) covers the full implementation investment.</w:t>
      </w:r>
    </w:p>
    <w:p>
      <w:pPr>
        <w:spacing w:after="120" w:before="200" w:line="276"/>
      </w:pPr>
      <w:r>
        <w:rPr>
          <w:rFonts w:ascii="Arial" w:cs="Arial" w:eastAsia="Arial" w:hAnsi="Arial"/>
          <w:color w:val="1A1A1A"/>
          <w:sz w:val="21"/>
          <w:szCs w:val="21"/>
        </w:rPr>
        <w:t xml:space="preserve">These projections assume Swift’s time is valued at $75–$100/hour (based on his retainer rates and the opportunity cost of creative work displaced by manual operations), an average retainer deal value of $4,000/month, current lead volume of 8–12 inbound inquiries per month across all channels, and a conservative conversion improvement of 15–25% from automated follow-up. Detailed assumptions are in Section E.</w:t>
      </w:r>
    </w:p>
    <w:p>
      <w:pPr>
        <w:pBdr>
          <w:bottom w:val="single" w:color="2E75B6" w:sz="4" w:space="8"/>
        </w:pBdr>
        <w:spacing w:after="200" w:before="200"/>
      </w:pPr>
    </w:p>
    <w:p>
      <w:pPr>
        <w:pStyle w:val="Heading1"/>
        <w:spacing w:after="200" w:before="240"/>
      </w:pPr>
      <w:r>
        <w:rPr>
          <w:rFonts w:ascii="Arial" w:cs="Arial" w:eastAsia="Arial" w:hAnsi="Arial"/>
          <w:b/>
          <w:bCs/>
          <w:color w:val="1B3A5C"/>
          <w:sz w:val="32"/>
          <w:szCs w:val="32"/>
        </w:rPr>
        <w:t xml:space="preserve">Savings by Workflow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200"/>
        <w:gridCol w:w="1400"/>
        <w:gridCol w:w="1400"/>
        <w:gridCol w:w="1200"/>
        <w:gridCol w:w="1560"/>
      </w:tblGrid>
      <w:tr>
        <w:trPr>
          <w:tblHeader/>
        </w:trPr>
        <w:tc>
          <w:tcPr>
            <w:tcW w:type="dxa" w:w="26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left"/>
            </w:pPr>
            <w:r>
              <w:rPr>
                <w:rFonts w:ascii="Arial" w:cs="Arial" w:eastAsia="Arial" w:hAnsi="Arial"/>
                <w:b/>
                <w:bCs/>
                <w:color w:val="FFFFFF"/>
                <w:sz w:val="18"/>
                <w:szCs w:val="18"/>
              </w:rPr>
              <w:t xml:space="preserve">Workflow</w:t>
            </w:r>
          </w:p>
        </w:tc>
        <w:tc>
          <w:tcPr>
            <w:tcW w:type="dxa" w:w="12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right"/>
            </w:pPr>
            <w:r>
              <w:rPr>
                <w:rFonts w:ascii="Arial" w:cs="Arial" w:eastAsia="Arial" w:hAnsi="Arial"/>
                <w:b/>
                <w:bCs/>
                <w:color w:val="FFFFFF"/>
                <w:sz w:val="18"/>
                <w:szCs w:val="18"/>
              </w:rPr>
              <w:t xml:space="preserve">Time Saved (hrs/mo)</w:t>
            </w:r>
          </w:p>
        </w:tc>
        <w:tc>
          <w:tcPr>
            <w:tcW w:type="dxa" w:w="14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right"/>
            </w:pPr>
            <w:r>
              <w:rPr>
                <w:rFonts w:ascii="Arial" w:cs="Arial" w:eastAsia="Arial" w:hAnsi="Arial"/>
                <w:b/>
                <w:bCs/>
                <w:color w:val="FFFFFF"/>
                <w:sz w:val="18"/>
                <w:szCs w:val="18"/>
              </w:rPr>
              <w:t xml:space="preserve">Direct Savings ($/mo)</w:t>
            </w:r>
          </w:p>
        </w:tc>
        <w:tc>
          <w:tcPr>
            <w:tcW w:type="dxa" w:w="14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right"/>
            </w:pPr>
            <w:r>
              <w:rPr>
                <w:rFonts w:ascii="Arial" w:cs="Arial" w:eastAsia="Arial" w:hAnsi="Arial"/>
                <w:b/>
                <w:bCs/>
                <w:color w:val="FFFFFF"/>
                <w:sz w:val="18"/>
                <w:szCs w:val="18"/>
              </w:rPr>
              <w:t xml:space="preserve">Opportunity Value ($/mo)</w:t>
            </w:r>
          </w:p>
        </w:tc>
        <w:tc>
          <w:tcPr>
            <w:tcW w:type="dxa" w:w="12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right"/>
            </w:pPr>
            <w:r>
              <w:rPr>
                <w:rFonts w:ascii="Arial" w:cs="Arial" w:eastAsia="Arial" w:hAnsi="Arial"/>
                <w:b/>
                <w:bCs/>
                <w:color w:val="FFFFFF"/>
                <w:sz w:val="18"/>
                <w:szCs w:val="18"/>
              </w:rPr>
              <w:t xml:space="preserve">Total Monthly Impact</w:t>
            </w:r>
          </w:p>
        </w:tc>
        <w:tc>
          <w:tcPr>
            <w:tcW w:type="dxa" w:w="156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left"/>
            </w:pPr>
            <w:r>
              <w:rPr>
                <w:rFonts w:ascii="Arial" w:cs="Arial" w:eastAsia="Arial" w:hAnsi="Arial"/>
                <w:b/>
                <w:bCs/>
                <w:color w:val="FFFFFF"/>
                <w:sz w:val="18"/>
                <w:szCs w:val="18"/>
              </w:rPr>
              <w:t xml:space="preserve">Phase</w:t>
            </w:r>
          </w:p>
        </w:tc>
      </w:tr>
      <w:tr>
        <w:tc>
          <w:tcPr>
            <w:tcW w:type="dxa" w:w="26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WF-01: Email &amp; Deliverability</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1–2</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$0</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$0</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$0*</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bCs/>
                <w:color w:val="2E75B6"/>
                <w:sz w:val="18"/>
                <w:szCs w:val="18"/>
              </w:rPr>
              <w:t xml:space="preserve">Phase 1</w:t>
            </w:r>
          </w:p>
        </w:tc>
      </w:tr>
      <w:tr>
        <w:tc>
          <w:tcPr>
            <w:tcW w:type="dxa" w:w="26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WF-02: Calendar &amp; Booking</w:t>
            </w:r>
          </w:p>
        </w:tc>
        <w:tc>
          <w:tcPr>
            <w:tcW w:type="dxa" w:w="12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2–3</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$150–$300</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$0</w:t>
            </w:r>
          </w:p>
        </w:tc>
        <w:tc>
          <w:tcPr>
            <w:tcW w:type="dxa" w:w="12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$150–$300</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bCs/>
                <w:color w:val="2E75B6"/>
                <w:sz w:val="18"/>
                <w:szCs w:val="18"/>
              </w:rPr>
              <w:t xml:space="preserve">Phase 1</w:t>
            </w:r>
          </w:p>
        </w:tc>
      </w:tr>
      <w:tr>
        <w:tc>
          <w:tcPr>
            <w:tcW w:type="dxa" w:w="26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WF-03: Form &amp; Automation Wiring</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3–4</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$225–$400</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$0</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$225–$400</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bCs/>
                <w:color w:val="2E75B6"/>
                <w:sz w:val="18"/>
                <w:szCs w:val="18"/>
              </w:rPr>
              <w:t xml:space="preserve">Phase 1</w:t>
            </w:r>
          </w:p>
        </w:tc>
      </w:tr>
      <w:tr>
        <w:tc>
          <w:tcPr>
            <w:tcW w:type="dxa" w:w="26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WF-04: Headshot Clinic Funnel</w:t>
            </w:r>
          </w:p>
        </w:tc>
        <w:tc>
          <w:tcPr>
            <w:tcW w:type="dxa" w:w="12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4–6</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$300–$600</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$1,000–$2,000</w:t>
            </w:r>
          </w:p>
        </w:tc>
        <w:tc>
          <w:tcPr>
            <w:tcW w:type="dxa" w:w="12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$1,300–$2,600</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bCs/>
                <w:color w:val="2E75B6"/>
                <w:sz w:val="18"/>
                <w:szCs w:val="18"/>
              </w:rPr>
              <w:t xml:space="preserve">Phase 1</w:t>
            </w:r>
          </w:p>
        </w:tc>
      </w:tr>
      <w:tr>
        <w:tc>
          <w:tcPr>
            <w:tcW w:type="dxa" w:w="26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WF-05: Funnel Page Repair</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1–2</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$75–$200</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$500–$1,000</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$575–$1,200</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bCs/>
                <w:color w:val="2E75B6"/>
                <w:sz w:val="18"/>
                <w:szCs w:val="18"/>
              </w:rPr>
              <w:t xml:space="preserve">Phase 1</w:t>
            </w:r>
          </w:p>
        </w:tc>
      </w:tr>
      <w:tr>
        <w:tc>
          <w:tcPr>
            <w:tcW w:type="dxa" w:w="26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WF-06: Pipeline Architecture</w:t>
            </w:r>
          </w:p>
        </w:tc>
        <w:tc>
          <w:tcPr>
            <w:tcW w:type="dxa" w:w="12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2–3</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$150–$300</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$0</w:t>
            </w:r>
          </w:p>
        </w:tc>
        <w:tc>
          <w:tcPr>
            <w:tcW w:type="dxa" w:w="12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$150–$300</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bCs/>
                <w:color w:val="16A34A"/>
                <w:sz w:val="18"/>
                <w:szCs w:val="18"/>
              </w:rPr>
              <w:t xml:space="preserve">Phase 2</w:t>
            </w:r>
          </w:p>
        </w:tc>
      </w:tr>
      <w:tr>
        <w:tc>
          <w:tcPr>
            <w:tcW w:type="dxa" w:w="26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WF-07: Social-to-CRM Capture</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3–4</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$225–$400</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$2,000–$4,000</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$2,225–$4,400</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bCs/>
                <w:color w:val="16A34A"/>
                <w:sz w:val="18"/>
                <w:szCs w:val="18"/>
              </w:rPr>
              <w:t xml:space="preserve">Phase 2</w:t>
            </w:r>
          </w:p>
        </w:tc>
      </w:tr>
      <w:tr>
        <w:tc>
          <w:tcPr>
            <w:tcW w:type="dxa" w:w="26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WF-08: Lead Nurture Sequences</w:t>
            </w:r>
          </w:p>
        </w:tc>
        <w:tc>
          <w:tcPr>
            <w:tcW w:type="dxa" w:w="12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5–7</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$375–$700</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$2,000–$4,000</w:t>
            </w:r>
          </w:p>
        </w:tc>
        <w:tc>
          <w:tcPr>
            <w:tcW w:type="dxa" w:w="12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$2,375–$4,700</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bCs/>
                <w:color w:val="16A34A"/>
                <w:sz w:val="18"/>
                <w:szCs w:val="18"/>
              </w:rPr>
              <w:t xml:space="preserve">Phase 2</w:t>
            </w:r>
          </w:p>
        </w:tc>
      </w:tr>
      <w:tr>
        <w:tc>
          <w:tcPr>
            <w:tcW w:type="dxa" w:w="26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WF-09: WordPress Migration</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1–2</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$33**</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$0</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$33</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bCs/>
                <w:color w:val="16A34A"/>
                <w:sz w:val="18"/>
                <w:szCs w:val="18"/>
              </w:rPr>
              <w:t xml:space="preserve">Phase 2</w:t>
            </w:r>
          </w:p>
        </w:tc>
      </w:tr>
      <w:tr>
        <w:tc>
          <w:tcPr>
            <w:tcW w:type="dxa" w:w="26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WF-10: Webinar Funnel</w:t>
            </w:r>
          </w:p>
        </w:tc>
        <w:tc>
          <w:tcPr>
            <w:tcW w:type="dxa" w:w="12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4–6</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$300–$600</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$2,000–$4,000</w:t>
            </w:r>
          </w:p>
        </w:tc>
        <w:tc>
          <w:tcPr>
            <w:tcW w:type="dxa" w:w="12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$2,300–$4,600</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bCs/>
                <w:color w:val="9333EA"/>
                <w:sz w:val="18"/>
                <w:szCs w:val="18"/>
              </w:rPr>
              <w:t xml:space="preserve">Phase 3</w:t>
            </w:r>
          </w:p>
        </w:tc>
      </w:tr>
      <w:tr>
        <w:tc>
          <w:tcPr>
            <w:tcW w:type="dxa" w:w="2600"/>
            <w:tcBorders>
              <w:top w:val="single" w:color="D0D5DD" w:sz="1"/>
              <w:left w:val="single" w:color="D0D5DD" w:sz="1"/>
              <w:bottom w:val="single" w:color="D0D5DD" w:sz="1"/>
              <w:right w:val="single" w:color="D0D5DD" w:sz="1"/>
            </w:tcBorders>
            <w:shd w:fill="F0FDF4" w:val="clear"/>
            <w:tcMar>
              <w:top w:type="dxa" w:w="80"/>
              <w:left w:type="dxa" w:w="120"/>
              <w:bottom w:type="dxa" w:w="80"/>
              <w:right w:type="dxa" w:w="120"/>
            </w:tcMar>
            <w:vAlign w:val="center"/>
          </w:tcPr>
          <w:p>
            <w:pPr>
              <w:spacing w:after="40" w:before="40"/>
              <w:jc w:val="left"/>
            </w:pPr>
            <w:r>
              <w:rPr>
                <w:rFonts w:ascii="Arial" w:cs="Arial" w:eastAsia="Arial" w:hAnsi="Arial"/>
                <w:b/>
                <w:bCs/>
                <w:color w:val="1B3A5C"/>
                <w:sz w:val="18"/>
                <w:szCs w:val="18"/>
              </w:rPr>
              <w:t xml:space="preserve">TOTAL</w:t>
            </w:r>
          </w:p>
        </w:tc>
        <w:tc>
          <w:tcPr>
            <w:tcW w:type="dxa" w:w="1200"/>
            <w:tcBorders>
              <w:top w:val="single" w:color="D0D5DD" w:sz="1"/>
              <w:left w:val="single" w:color="D0D5DD" w:sz="1"/>
              <w:bottom w:val="single" w:color="D0D5DD" w:sz="1"/>
              <w:right w:val="single" w:color="D0D5DD" w:sz="1"/>
            </w:tcBorders>
            <w:shd w:fill="F0FDF4" w:val="clear"/>
            <w:tcMar>
              <w:top w:type="dxa" w:w="80"/>
              <w:left w:type="dxa" w:w="120"/>
              <w:bottom w:type="dxa" w:w="80"/>
              <w:right w:type="dxa" w:w="120"/>
            </w:tcMar>
            <w:vAlign w:val="center"/>
          </w:tcPr>
          <w:p>
            <w:pPr>
              <w:spacing w:after="40" w:before="40"/>
              <w:jc w:val="right"/>
            </w:pPr>
            <w:r>
              <w:rPr>
                <w:rFonts w:ascii="Arial" w:cs="Arial" w:eastAsia="Arial" w:hAnsi="Arial"/>
                <w:b/>
                <w:bCs/>
                <w:color w:val="1B3A5C"/>
                <w:sz w:val="18"/>
                <w:szCs w:val="18"/>
              </w:rPr>
              <w:t xml:space="preserve">26–39</w:t>
            </w:r>
          </w:p>
        </w:tc>
        <w:tc>
          <w:tcPr>
            <w:tcW w:type="dxa" w:w="1400"/>
            <w:tcBorders>
              <w:top w:val="single" w:color="D0D5DD" w:sz="1"/>
              <w:left w:val="single" w:color="D0D5DD" w:sz="1"/>
              <w:bottom w:val="single" w:color="D0D5DD" w:sz="1"/>
              <w:right w:val="single" w:color="D0D5DD" w:sz="1"/>
            </w:tcBorders>
            <w:shd w:fill="F0FDF4" w:val="clear"/>
            <w:tcMar>
              <w:top w:type="dxa" w:w="80"/>
              <w:left w:type="dxa" w:w="120"/>
              <w:bottom w:type="dxa" w:w="80"/>
              <w:right w:type="dxa" w:w="120"/>
            </w:tcMar>
            <w:vAlign w:val="center"/>
          </w:tcPr>
          <w:p>
            <w:pPr>
              <w:spacing w:after="40" w:before="40"/>
              <w:jc w:val="right"/>
            </w:pPr>
            <w:r>
              <w:rPr>
                <w:rFonts w:ascii="Arial" w:cs="Arial" w:eastAsia="Arial" w:hAnsi="Arial"/>
                <w:b/>
                <w:bCs/>
                <w:color w:val="1B3A5C"/>
                <w:sz w:val="18"/>
                <w:szCs w:val="18"/>
              </w:rPr>
              <w:t xml:space="preserve">$1,833–$3,533</w:t>
            </w:r>
          </w:p>
        </w:tc>
        <w:tc>
          <w:tcPr>
            <w:tcW w:type="dxa" w:w="1400"/>
            <w:tcBorders>
              <w:top w:val="single" w:color="D0D5DD" w:sz="1"/>
              <w:left w:val="single" w:color="D0D5DD" w:sz="1"/>
              <w:bottom w:val="single" w:color="D0D5DD" w:sz="1"/>
              <w:right w:val="single" w:color="D0D5DD" w:sz="1"/>
            </w:tcBorders>
            <w:shd w:fill="F0FDF4" w:val="clear"/>
            <w:tcMar>
              <w:top w:type="dxa" w:w="80"/>
              <w:left w:type="dxa" w:w="120"/>
              <w:bottom w:type="dxa" w:w="80"/>
              <w:right w:type="dxa" w:w="120"/>
            </w:tcMar>
            <w:vAlign w:val="center"/>
          </w:tcPr>
          <w:p>
            <w:pPr>
              <w:spacing w:after="40" w:before="40"/>
              <w:jc w:val="right"/>
            </w:pPr>
            <w:r>
              <w:rPr>
                <w:rFonts w:ascii="Arial" w:cs="Arial" w:eastAsia="Arial" w:hAnsi="Arial"/>
                <w:b/>
                <w:bCs/>
                <w:color w:val="1B3A5C"/>
                <w:sz w:val="18"/>
                <w:szCs w:val="18"/>
              </w:rPr>
              <w:t xml:space="preserve">$7,500–$15,000</w:t>
            </w:r>
          </w:p>
        </w:tc>
        <w:tc>
          <w:tcPr>
            <w:tcW w:type="dxa" w:w="1200"/>
            <w:tcBorders>
              <w:top w:val="single" w:color="D0D5DD" w:sz="1"/>
              <w:left w:val="single" w:color="D0D5DD" w:sz="1"/>
              <w:bottom w:val="single" w:color="D0D5DD" w:sz="1"/>
              <w:right w:val="single" w:color="D0D5DD" w:sz="1"/>
            </w:tcBorders>
            <w:shd w:fill="F0FDF4" w:val="clear"/>
            <w:tcMar>
              <w:top w:type="dxa" w:w="80"/>
              <w:left w:type="dxa" w:w="120"/>
              <w:bottom w:type="dxa" w:w="80"/>
              <w:right w:type="dxa" w:w="120"/>
            </w:tcMar>
            <w:vAlign w:val="center"/>
          </w:tcPr>
          <w:p>
            <w:pPr>
              <w:spacing w:after="40" w:before="40"/>
              <w:jc w:val="right"/>
            </w:pPr>
            <w:r>
              <w:rPr>
                <w:rFonts w:ascii="Arial" w:cs="Arial" w:eastAsia="Arial" w:hAnsi="Arial"/>
                <w:b/>
                <w:bCs/>
                <w:color w:val="16A34A"/>
                <w:sz w:val="18"/>
                <w:szCs w:val="18"/>
              </w:rPr>
              <w:t xml:space="preserve">$9,333–$18,533</w:t>
            </w:r>
          </w:p>
        </w:tc>
        <w:tc>
          <w:tcPr>
            <w:tcW w:type="dxa" w:w="1560"/>
            <w:tcBorders>
              <w:top w:val="single" w:color="D0D5DD" w:sz="1"/>
              <w:left w:val="single" w:color="D0D5DD" w:sz="1"/>
              <w:bottom w:val="single" w:color="D0D5DD" w:sz="1"/>
              <w:right w:val="single" w:color="D0D5DD" w:sz="1"/>
            </w:tcBorders>
            <w:shd w:fill="F0FDF4" w:val="clear"/>
            <w:tcMar>
              <w:top w:type="dxa" w:w="80"/>
              <w:left w:type="dxa" w:w="120"/>
              <w:bottom w:type="dxa" w:w="80"/>
              <w:right w:type="dxa" w:w="120"/>
            </w:tcMar>
            <w:vAlign w:val="center"/>
          </w:tcPr>
          <w:p>
            <w:pPr>
              <w:spacing w:after="40" w:before="40"/>
              <w:jc w:val="left"/>
            </w:pPr>
            <w:r>
              <w:rPr>
                <w:rFonts w:ascii="Arial" w:cs="Arial" w:eastAsia="Arial" w:hAnsi="Arial"/>
                <w:b/>
                <w:bCs/>
                <w:color w:val="1B3A5C"/>
                <w:sz w:val="18"/>
                <w:szCs w:val="18"/>
              </w:rPr>
              <w:t xml:space="preserve">All Phases</w:t>
            </w:r>
          </w:p>
        </w:tc>
      </w:tr>
    </w:tbl>
    <w:p>
      <w:pPr>
        <w:spacing w:after="120" w:before="80" w:line="276"/>
      </w:pPr>
      <w:r>
        <w:rPr>
          <w:rFonts w:ascii="Arial" w:cs="Arial" w:eastAsia="Arial" w:hAnsi="Arial"/>
          <w:i/>
          <w:iCs/>
          <w:color w:val="4A5568"/>
          <w:sz w:val="18"/>
          <w:szCs w:val="18"/>
        </w:rPr>
        <w:t xml:space="preserve">* WF-01 has no direct monthly savings but is a prerequisite for every email-dependent workflow. Without it, WF-03, WF-04, WF-08, and WF-10 cannot function.</w:t>
      </w:r>
    </w:p>
    <w:p>
      <w:pPr>
        <w:spacing w:after="120" w:before="80" w:line="276"/>
      </w:pPr>
      <w:r>
        <w:rPr>
          <w:rFonts w:ascii="Arial" w:cs="Arial" w:eastAsia="Arial" w:hAnsi="Arial"/>
          <w:i/>
          <w:iCs/>
          <w:color w:val="4A5568"/>
          <w:sz w:val="18"/>
          <w:szCs w:val="18"/>
        </w:rPr>
        <w:t xml:space="preserve">** WordPress elimination saves $400/year ($33/month). The larger value is operational simplicity—one platform to manage instead of two.</w:t>
      </w:r>
    </w:p>
    <w:p>
      <w:pPr>
        <w:spacing w:after="120" w:before="240"/>
      </w:pPr>
      <w:r>
        <w:rPr>
          <w:rFonts w:ascii="Arial" w:cs="Arial" w:eastAsia="Arial" w:hAnsi="Arial"/>
          <w:b/>
          <w:bCs/>
          <w:color w:val="1B3A5C"/>
          <w:sz w:val="22"/>
          <w:szCs w:val="22"/>
        </w:rPr>
        <w:t xml:space="preserve">Where the Value Concentrates</w:t>
      </w:r>
    </w:p>
    <w:p>
      <w:pPr>
        <w:spacing w:after="120" w:before="80" w:line="276"/>
      </w:pPr>
      <w:r>
        <w:rPr>
          <w:rFonts w:ascii="Arial" w:cs="Arial" w:eastAsia="Arial" w:hAnsi="Arial"/>
          <w:b/>
          <w:bCs/>
          <w:color w:val="1A1A1A"/>
          <w:sz w:val="21"/>
          <w:szCs w:val="21"/>
        </w:rPr>
        <w:t xml:space="preserve">WF-07 (Social-to-CRM Capture) and WF-08 (Lead Nurture Sequences) </w:t>
      </w:r>
      <w:r>
        <w:rPr>
          <w:rFonts w:ascii="Arial" w:cs="Arial" w:eastAsia="Arial" w:hAnsi="Arial"/>
          <w:color w:val="1A1A1A"/>
          <w:sz w:val="21"/>
          <w:szCs w:val="21"/>
        </w:rPr>
        <w:t xml:space="preserve">represent the largest combined impact. Swift is already generating inbound interest through Instagram and word of mouth, but without a system to capture and follow up on that interest, leads dissipate. The conservative estimate of 1–2 additional retainer clients per month from automated lead capture alone produces $4,000–$8,000 in new monthly recurring revenue.</w:t>
      </w:r>
    </w:p>
    <w:p>
      <w:pPr>
        <w:spacing w:after="120" w:before="80" w:line="276"/>
      </w:pPr>
      <w:r>
        <w:rPr>
          <w:rFonts w:ascii="Arial" w:cs="Arial" w:eastAsia="Arial" w:hAnsi="Arial"/>
          <w:b/>
          <w:bCs/>
          <w:color w:val="1A1A1A"/>
          <w:sz w:val="21"/>
          <w:szCs w:val="21"/>
        </w:rPr>
        <w:t xml:space="preserve">WF-04 (Headshot Clinic Funnel) </w:t>
      </w:r>
      <w:r>
        <w:rPr>
          <w:rFonts w:ascii="Arial" w:cs="Arial" w:eastAsia="Arial" w:hAnsi="Arial"/>
          <w:color w:val="1A1A1A"/>
          <w:sz w:val="21"/>
          <w:szCs w:val="21"/>
        </w:rPr>
        <w:t xml:space="preserve">delivers the most immediate operational relief. The clinic is a proven offering that Swift runs today—he just can’t run it efficiently. A functioning funnel means higher show rates, less manual coordination, and the ability to run clinics monthly instead of sporadically.</w:t>
      </w:r>
    </w:p>
    <w:p>
      <w:pPr>
        <w:spacing w:after="120" w:before="80" w:line="276"/>
      </w:pPr>
      <w:r>
        <w:rPr>
          <w:rFonts w:ascii="Arial" w:cs="Arial" w:eastAsia="Arial" w:hAnsi="Arial"/>
          <w:b/>
          <w:bCs/>
          <w:color w:val="1A1A1A"/>
          <w:sz w:val="21"/>
          <w:szCs w:val="21"/>
        </w:rPr>
        <w:t xml:space="preserve">WF-10 (Webinar Funnel) </w:t>
      </w:r>
      <w:r>
        <w:rPr>
          <w:rFonts w:ascii="Arial" w:cs="Arial" w:eastAsia="Arial" w:hAnsi="Arial"/>
          <w:color w:val="1A1A1A"/>
          <w:sz w:val="21"/>
          <w:szCs w:val="21"/>
        </w:rPr>
        <w:t xml:space="preserve">is the highest-ceiling opportunity. A weekly webinar converting even 2–3% of registrants into a $497–$997 course purchase creates a scalable revenue stream that doesn’t require Swift to trade additional hours for dollars.</w:t>
      </w:r>
    </w:p>
    <w:p>
      <w:pPr>
        <w:pBdr>
          <w:bottom w:val="single" w:color="2E75B6" w:sz="4" w:space="8"/>
        </w:pBdr>
        <w:spacing w:after="200" w:before="200"/>
      </w:pPr>
    </w:p>
    <w:p>
      <w:pPr>
        <w:pStyle w:val="Heading1"/>
        <w:spacing w:after="200" w:before="240"/>
      </w:pPr>
      <w:r>
        <w:rPr>
          <w:rFonts w:ascii="Arial" w:cs="Arial" w:eastAsia="Arial" w:hAnsi="Arial"/>
          <w:b/>
          <w:bCs/>
          <w:color w:val="1B3A5C"/>
          <w:sz w:val="32"/>
          <w:szCs w:val="32"/>
        </w:rPr>
        <w:t xml:space="preserve">Implementation Investment</w:t>
      </w:r>
    </w:p>
    <w:p>
      <w:pPr>
        <w:spacing w:after="120" w:before="80" w:line="276"/>
      </w:pPr>
      <w:r>
        <w:rPr>
          <w:rFonts w:ascii="Arial" w:cs="Arial" w:eastAsia="Arial" w:hAnsi="Arial"/>
          <w:color w:val="1A1A1A"/>
          <w:sz w:val="21"/>
          <w:szCs w:val="21"/>
        </w:rPr>
        <w:t xml:space="preserve">Two engagement options are available. Both include the same strategic architecture—the same blueprints, the same gap resolution, the same workflow design. The difference is in how the knowledge transfers.</w:t>
      </w:r>
    </w:p>
    <w:p>
      <w:pPr>
        <w:spacing w:after="80" w:before="280"/>
      </w:pPr>
      <w:r>
        <w:rPr>
          <w:rFonts w:ascii="Arial" w:cs="Arial" w:eastAsia="Arial" w:hAnsi="Arial"/>
          <w:b/>
          <w:bCs/>
          <w:color w:val="1B3A5C"/>
          <w:sz w:val="24"/>
          <w:szCs w:val="24"/>
        </w:rPr>
        <w:t xml:space="preserve">Option A: Architecture + Coaching</w:t>
      </w:r>
    </w:p>
    <w:p>
      <w:pPr>
        <w:pBdr>
          <w:left w:val="single" w:color="16A34A" w:sz="8" w:space="8"/>
        </w:pBdr>
        <w:shd w:fill="F0FDF4" w:val="clear"/>
        <w:spacing w:after="160" w:before="40"/>
        <w:ind w:left="360" w:right="360"/>
      </w:pPr>
      <w:r>
        <w:rPr>
          <w:rFonts w:ascii="Arial" w:cs="Arial" w:eastAsia="Arial" w:hAnsi="Arial"/>
          <w:b/>
          <w:bCs/>
          <w:color w:val="16A34A"/>
          <w:sz w:val="18"/>
          <w:szCs w:val="18"/>
        </w:rPr>
        <w:t xml:space="preserve">Recommended for Swift based on stated preference for hands-on learning.</w:t>
      </w:r>
    </w:p>
    <w:p>
      <w:pPr>
        <w:spacing w:after="120" w:before="80" w:line="276"/>
      </w:pPr>
      <w:r>
        <w:rPr>
          <w:rFonts w:ascii="Arial" w:cs="Arial" w:eastAsia="Arial" w:hAnsi="Arial"/>
          <w:color w:val="1A1A1A"/>
          <w:sz w:val="21"/>
          <w:szCs w:val="21"/>
        </w:rPr>
        <w:t xml:space="preserve">Includes full workflow architecture, weekly coaching sessions (1–2 per week), live implementation guidance, and async support between sessions. Swift builds each workflow with expert direction, learning the platform as he goes. Each phase concludes with a working system Swift understands well enough to maintain and modify independently.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1800"/>
        <w:gridCol w:w="1560"/>
        <w:gridCol w:w="1800"/>
      </w:tblGrid>
      <w:tr>
        <w:trPr>
          <w:tblHeader/>
        </w:trPr>
        <w:tc>
          <w:tcPr>
            <w:tcW w:type="dxa" w:w="12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left"/>
            </w:pPr>
            <w:r>
              <w:rPr>
                <w:rFonts w:ascii="Arial" w:cs="Arial" w:eastAsia="Arial" w:hAnsi="Arial"/>
                <w:b/>
                <w:bCs/>
                <w:color w:val="FFFFFF"/>
                <w:sz w:val="18"/>
                <w:szCs w:val="18"/>
              </w:rPr>
              <w:t xml:space="preserve">Phase</w:t>
            </w:r>
          </w:p>
        </w:tc>
        <w:tc>
          <w:tcPr>
            <w:tcW w:type="dxa" w:w="30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left"/>
            </w:pPr>
            <w:r>
              <w:rPr>
                <w:rFonts w:ascii="Arial" w:cs="Arial" w:eastAsia="Arial" w:hAnsi="Arial"/>
                <w:b/>
                <w:bCs/>
                <w:color w:val="FFFFFF"/>
                <w:sz w:val="18"/>
                <w:szCs w:val="18"/>
              </w:rPr>
              <w:t xml:space="preserve">Workflows Included</w:t>
            </w:r>
          </w:p>
        </w:tc>
        <w:tc>
          <w:tcPr>
            <w:tcW w:type="dxa" w:w="18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left"/>
            </w:pPr>
            <w:r>
              <w:rPr>
                <w:rFonts w:ascii="Arial" w:cs="Arial" w:eastAsia="Arial" w:hAnsi="Arial"/>
                <w:b/>
                <w:bCs/>
                <w:color w:val="FFFFFF"/>
                <w:sz w:val="18"/>
                <w:szCs w:val="18"/>
              </w:rPr>
              <w:t xml:space="preserve">Sessions</w:t>
            </w:r>
          </w:p>
        </w:tc>
        <w:tc>
          <w:tcPr>
            <w:tcW w:type="dxa" w:w="156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left"/>
            </w:pPr>
            <w:r>
              <w:rPr>
                <w:rFonts w:ascii="Arial" w:cs="Arial" w:eastAsia="Arial" w:hAnsi="Arial"/>
                <w:b/>
                <w:bCs/>
                <w:color w:val="FFFFFF"/>
                <w:sz w:val="18"/>
                <w:szCs w:val="18"/>
              </w:rPr>
              <w:t xml:space="preserve">Timeline</w:t>
            </w:r>
          </w:p>
        </w:tc>
        <w:tc>
          <w:tcPr>
            <w:tcW w:type="dxa" w:w="18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right"/>
            </w:pPr>
            <w:r>
              <w:rPr>
                <w:rFonts w:ascii="Arial" w:cs="Arial" w:eastAsia="Arial" w:hAnsi="Arial"/>
                <w:b/>
                <w:bCs/>
                <w:color w:val="FFFFFF"/>
                <w:sz w:val="18"/>
                <w:szCs w:val="18"/>
              </w:rPr>
              <w:t xml:space="preserve">Investment</w:t>
            </w:r>
          </w:p>
        </w:tc>
      </w:tr>
      <w:tr>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bCs/>
                <w:color w:val="2E75B6"/>
                <w:sz w:val="18"/>
                <w:szCs w:val="18"/>
              </w:rPr>
              <w:t xml:space="preserve">Phase 1</w:t>
            </w:r>
          </w:p>
        </w:tc>
        <w:tc>
          <w:tcPr>
            <w:tcW w:type="dxa" w:w="30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WF-01 through WF-05 (Foundation)</w:t>
            </w:r>
          </w:p>
        </w:tc>
        <w:tc>
          <w:tcPr>
            <w:tcW w:type="dxa" w:w="18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4–6 sessions</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2–3 weeks</w:t>
            </w:r>
          </w:p>
        </w:tc>
        <w:tc>
          <w:tcPr>
            <w:tcW w:type="dxa" w:w="18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$1,800</w:t>
            </w:r>
          </w:p>
        </w:tc>
      </w:tr>
      <w:tr>
        <w:tc>
          <w:tcPr>
            <w:tcW w:type="dxa" w:w="12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bCs/>
                <w:color w:val="16A34A"/>
                <w:sz w:val="18"/>
                <w:szCs w:val="18"/>
              </w:rPr>
              <w:t xml:space="preserve">Phase 2</w:t>
            </w:r>
          </w:p>
        </w:tc>
        <w:tc>
          <w:tcPr>
            <w:tcW w:type="dxa" w:w="30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WF-06 through WF-09 (Growth)</w:t>
            </w:r>
          </w:p>
        </w:tc>
        <w:tc>
          <w:tcPr>
            <w:tcW w:type="dxa" w:w="18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5–7 sessions</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3–4 weeks</w:t>
            </w:r>
          </w:p>
        </w:tc>
        <w:tc>
          <w:tcPr>
            <w:tcW w:type="dxa" w:w="18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$2,400</w:t>
            </w:r>
          </w:p>
        </w:tc>
      </w:tr>
      <w:tr>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bCs/>
                <w:color w:val="9333EA"/>
                <w:sz w:val="18"/>
                <w:szCs w:val="18"/>
              </w:rPr>
              <w:t xml:space="preserve">Phase 3</w:t>
            </w:r>
          </w:p>
        </w:tc>
        <w:tc>
          <w:tcPr>
            <w:tcW w:type="dxa" w:w="30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WF-10 (Scale)</w:t>
            </w:r>
          </w:p>
        </w:tc>
        <w:tc>
          <w:tcPr>
            <w:tcW w:type="dxa" w:w="18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3–4 sessions</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2–3 weeks</w:t>
            </w:r>
          </w:p>
        </w:tc>
        <w:tc>
          <w:tcPr>
            <w:tcW w:type="dxa" w:w="18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$1,600</w:t>
            </w:r>
          </w:p>
        </w:tc>
      </w:tr>
      <w:tr>
        <w:tc>
          <w:tcPr>
            <w:tcW w:type="dxa" w:w="12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
            </w:r>
          </w:p>
        </w:tc>
        <w:tc>
          <w:tcPr>
            <w:tcW w:type="dxa" w:w="30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
            </w:r>
          </w:p>
        </w:tc>
        <w:tc>
          <w:tcPr>
            <w:tcW w:type="dxa" w:w="18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bCs/>
                <w:color w:val="1A1A1A"/>
                <w:sz w:val="18"/>
                <w:szCs w:val="18"/>
              </w:rPr>
              <w:t xml:space="preserve">Total (individual)</w:t>
            </w:r>
          </w:p>
        </w:tc>
        <w:tc>
          <w:tcPr>
            <w:tcW w:type="dxa" w:w="18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$5,800</w:t>
            </w:r>
          </w:p>
        </w:tc>
      </w:tr>
      <w:tr>
        <w:tc>
          <w:tcPr>
            <w:tcW w:type="dxa" w:w="1200"/>
            <w:tcBorders>
              <w:top w:val="single" w:color="D0D5DD" w:sz="1"/>
              <w:left w:val="single" w:color="D0D5DD" w:sz="1"/>
              <w:bottom w:val="single" w:color="D0D5DD" w:sz="1"/>
              <w:right w:val="single" w:color="D0D5DD" w:sz="1"/>
            </w:tcBorders>
            <w:shd w:fill="F0FDF4"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
            </w:r>
          </w:p>
        </w:tc>
        <w:tc>
          <w:tcPr>
            <w:tcW w:type="dxa" w:w="3000"/>
            <w:tcBorders>
              <w:top w:val="single" w:color="D0D5DD" w:sz="1"/>
              <w:left w:val="single" w:color="D0D5DD" w:sz="1"/>
              <w:bottom w:val="single" w:color="D0D5DD" w:sz="1"/>
              <w:right w:val="single" w:color="D0D5DD" w:sz="1"/>
            </w:tcBorders>
            <w:shd w:fill="F0FDF4"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
            </w:r>
          </w:p>
        </w:tc>
        <w:tc>
          <w:tcPr>
            <w:tcW w:type="dxa" w:w="1800"/>
            <w:tcBorders>
              <w:top w:val="single" w:color="D0D5DD" w:sz="1"/>
              <w:left w:val="single" w:color="D0D5DD" w:sz="1"/>
              <w:bottom w:val="single" w:color="D0D5DD" w:sz="1"/>
              <w:right w:val="single" w:color="D0D5DD" w:sz="1"/>
            </w:tcBorders>
            <w:shd w:fill="F0FDF4"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
            </w:r>
          </w:p>
        </w:tc>
        <w:tc>
          <w:tcPr>
            <w:tcW w:type="dxa" w:w="1560"/>
            <w:tcBorders>
              <w:top w:val="single" w:color="D0D5DD" w:sz="1"/>
              <w:left w:val="single" w:color="D0D5DD" w:sz="1"/>
              <w:bottom w:val="single" w:color="D0D5DD" w:sz="1"/>
              <w:right w:val="single" w:color="D0D5DD" w:sz="1"/>
            </w:tcBorders>
            <w:shd w:fill="F0FDF4" w:val="clear"/>
            <w:tcMar>
              <w:top w:type="dxa" w:w="80"/>
              <w:left w:type="dxa" w:w="120"/>
              <w:bottom w:type="dxa" w:w="80"/>
              <w:right w:type="dxa" w:w="120"/>
            </w:tcMar>
            <w:vAlign w:val="center"/>
          </w:tcPr>
          <w:p>
            <w:pPr>
              <w:spacing w:after="40" w:before="40"/>
              <w:jc w:val="left"/>
            </w:pPr>
            <w:r>
              <w:rPr>
                <w:rFonts w:ascii="Arial" w:cs="Arial" w:eastAsia="Arial" w:hAnsi="Arial"/>
                <w:b/>
                <w:bCs/>
                <w:color w:val="16A34A"/>
                <w:sz w:val="18"/>
                <w:szCs w:val="18"/>
              </w:rPr>
              <w:t xml:space="preserve">All Phases Bundle (15% off)</w:t>
            </w:r>
          </w:p>
        </w:tc>
        <w:tc>
          <w:tcPr>
            <w:tcW w:type="dxa" w:w="1800"/>
            <w:tcBorders>
              <w:top w:val="single" w:color="D0D5DD" w:sz="1"/>
              <w:left w:val="single" w:color="D0D5DD" w:sz="1"/>
              <w:bottom w:val="single" w:color="D0D5DD" w:sz="1"/>
              <w:right w:val="single" w:color="D0D5DD" w:sz="1"/>
            </w:tcBorders>
            <w:shd w:fill="F0FDF4" w:val="clear"/>
            <w:tcMar>
              <w:top w:type="dxa" w:w="80"/>
              <w:left w:type="dxa" w:w="120"/>
              <w:bottom w:type="dxa" w:w="80"/>
              <w:right w:type="dxa" w:w="120"/>
            </w:tcMar>
            <w:vAlign w:val="center"/>
          </w:tcPr>
          <w:p>
            <w:pPr>
              <w:spacing w:after="40" w:before="40"/>
              <w:jc w:val="right"/>
            </w:pPr>
            <w:r>
              <w:rPr>
                <w:rFonts w:ascii="Arial" w:cs="Arial" w:eastAsia="Arial" w:hAnsi="Arial"/>
                <w:b/>
                <w:bCs/>
                <w:color w:val="16A34A"/>
                <w:sz w:val="18"/>
                <w:szCs w:val="18"/>
              </w:rPr>
              <w:t xml:space="preserve">$4,930</w:t>
            </w:r>
          </w:p>
        </w:tc>
      </w:tr>
    </w:tbl>
    <w:p>
      <w:pPr>
        <w:spacing w:after="80" w:before="360"/>
      </w:pPr>
      <w:r>
        <w:rPr>
          <w:rFonts w:ascii="Arial" w:cs="Arial" w:eastAsia="Arial" w:hAnsi="Arial"/>
          <w:b/>
          <w:bCs/>
          <w:color w:val="1B3A5C"/>
          <w:sz w:val="24"/>
          <w:szCs w:val="24"/>
        </w:rPr>
        <w:t xml:space="preserve">Option B: Architecture Only</w:t>
      </w:r>
    </w:p>
    <w:p>
      <w:pPr>
        <w:spacing w:after="120" w:before="80" w:line="276"/>
      </w:pPr>
      <w:r>
        <w:rPr>
          <w:rFonts w:ascii="Arial" w:cs="Arial" w:eastAsia="Arial" w:hAnsi="Arial"/>
          <w:color w:val="1A1A1A"/>
          <w:sz w:val="21"/>
          <w:szCs w:val="21"/>
        </w:rPr>
        <w:t xml:space="preserve">Includes the full workflow architecture delivered as detailed blueprint documentation: SOPs, step-by-step implementation guides, workflow diagrams, and configuration specs. Swift executes independently using the blueprints as his guide. Limited async support (up to 3 questions per phase via email or text) is included for clarification, but no live coaching sessions.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1800"/>
        <w:gridCol w:w="1560"/>
        <w:gridCol w:w="1800"/>
      </w:tblGrid>
      <w:tr>
        <w:trPr>
          <w:tblHeader/>
        </w:trPr>
        <w:tc>
          <w:tcPr>
            <w:tcW w:type="dxa" w:w="12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left"/>
            </w:pPr>
            <w:r>
              <w:rPr>
                <w:rFonts w:ascii="Arial" w:cs="Arial" w:eastAsia="Arial" w:hAnsi="Arial"/>
                <w:b/>
                <w:bCs/>
                <w:color w:val="FFFFFF"/>
                <w:sz w:val="18"/>
                <w:szCs w:val="18"/>
              </w:rPr>
              <w:t xml:space="preserve">Phase</w:t>
            </w:r>
          </w:p>
        </w:tc>
        <w:tc>
          <w:tcPr>
            <w:tcW w:type="dxa" w:w="30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left"/>
            </w:pPr>
            <w:r>
              <w:rPr>
                <w:rFonts w:ascii="Arial" w:cs="Arial" w:eastAsia="Arial" w:hAnsi="Arial"/>
                <w:b/>
                <w:bCs/>
                <w:color w:val="FFFFFF"/>
                <w:sz w:val="18"/>
                <w:szCs w:val="18"/>
              </w:rPr>
              <w:t xml:space="preserve">Workflows Included</w:t>
            </w:r>
          </w:p>
        </w:tc>
        <w:tc>
          <w:tcPr>
            <w:tcW w:type="dxa" w:w="18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left"/>
            </w:pPr>
            <w:r>
              <w:rPr>
                <w:rFonts w:ascii="Arial" w:cs="Arial" w:eastAsia="Arial" w:hAnsi="Arial"/>
                <w:b/>
                <w:bCs/>
                <w:color w:val="FFFFFF"/>
                <w:sz w:val="18"/>
                <w:szCs w:val="18"/>
              </w:rPr>
              <w:t xml:space="preserve">Deliverable</w:t>
            </w:r>
          </w:p>
        </w:tc>
        <w:tc>
          <w:tcPr>
            <w:tcW w:type="dxa" w:w="156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left"/>
            </w:pPr>
            <w:r>
              <w:rPr>
                <w:rFonts w:ascii="Arial" w:cs="Arial" w:eastAsia="Arial" w:hAnsi="Arial"/>
                <w:b/>
                <w:bCs/>
                <w:color w:val="FFFFFF"/>
                <w:sz w:val="18"/>
                <w:szCs w:val="18"/>
              </w:rPr>
              <w:t xml:space="preserve">Timeline</w:t>
            </w:r>
          </w:p>
        </w:tc>
        <w:tc>
          <w:tcPr>
            <w:tcW w:type="dxa" w:w="18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right"/>
            </w:pPr>
            <w:r>
              <w:rPr>
                <w:rFonts w:ascii="Arial" w:cs="Arial" w:eastAsia="Arial" w:hAnsi="Arial"/>
                <w:b/>
                <w:bCs/>
                <w:color w:val="FFFFFF"/>
                <w:sz w:val="18"/>
                <w:szCs w:val="18"/>
              </w:rPr>
              <w:t xml:space="preserve">Investment</w:t>
            </w:r>
          </w:p>
        </w:tc>
      </w:tr>
      <w:tr>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bCs/>
                <w:color w:val="2E75B6"/>
                <w:sz w:val="18"/>
                <w:szCs w:val="18"/>
              </w:rPr>
              <w:t xml:space="preserve">Phase 1</w:t>
            </w:r>
          </w:p>
        </w:tc>
        <w:tc>
          <w:tcPr>
            <w:tcW w:type="dxa" w:w="30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WF-01 through WF-05 (Foundation)</w:t>
            </w:r>
          </w:p>
        </w:tc>
        <w:tc>
          <w:tcPr>
            <w:tcW w:type="dxa" w:w="18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Blueprint + SOPs</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1 week delivery</w:t>
            </w:r>
          </w:p>
        </w:tc>
        <w:tc>
          <w:tcPr>
            <w:tcW w:type="dxa" w:w="18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$1,000</w:t>
            </w:r>
          </w:p>
        </w:tc>
      </w:tr>
      <w:tr>
        <w:tc>
          <w:tcPr>
            <w:tcW w:type="dxa" w:w="12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bCs/>
                <w:color w:val="16A34A"/>
                <w:sz w:val="18"/>
                <w:szCs w:val="18"/>
              </w:rPr>
              <w:t xml:space="preserve">Phase 2</w:t>
            </w:r>
          </w:p>
        </w:tc>
        <w:tc>
          <w:tcPr>
            <w:tcW w:type="dxa" w:w="30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WF-06 through WF-09 (Growth)</w:t>
            </w:r>
          </w:p>
        </w:tc>
        <w:tc>
          <w:tcPr>
            <w:tcW w:type="dxa" w:w="18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Blueprint + SOPs</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1 week delivery</w:t>
            </w:r>
          </w:p>
        </w:tc>
        <w:tc>
          <w:tcPr>
            <w:tcW w:type="dxa" w:w="18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$1,200</w:t>
            </w:r>
          </w:p>
        </w:tc>
      </w:tr>
      <w:tr>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bCs/>
                <w:color w:val="9333EA"/>
                <w:sz w:val="18"/>
                <w:szCs w:val="18"/>
              </w:rPr>
              <w:t xml:space="preserve">Phase 3</w:t>
            </w:r>
          </w:p>
        </w:tc>
        <w:tc>
          <w:tcPr>
            <w:tcW w:type="dxa" w:w="30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WF-10 (Scale)</w:t>
            </w:r>
          </w:p>
        </w:tc>
        <w:tc>
          <w:tcPr>
            <w:tcW w:type="dxa" w:w="18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Blueprint + SOPs</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1 week delivery</w:t>
            </w:r>
          </w:p>
        </w:tc>
        <w:tc>
          <w:tcPr>
            <w:tcW w:type="dxa" w:w="18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$800</w:t>
            </w:r>
          </w:p>
        </w:tc>
      </w:tr>
      <w:tr>
        <w:tc>
          <w:tcPr>
            <w:tcW w:type="dxa" w:w="12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
            </w:r>
          </w:p>
        </w:tc>
        <w:tc>
          <w:tcPr>
            <w:tcW w:type="dxa" w:w="30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
            </w:r>
          </w:p>
        </w:tc>
        <w:tc>
          <w:tcPr>
            <w:tcW w:type="dxa" w:w="18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bCs/>
                <w:color w:val="1A1A1A"/>
                <w:sz w:val="18"/>
                <w:szCs w:val="18"/>
              </w:rPr>
              <w:t xml:space="preserve">Total (individual)</w:t>
            </w:r>
          </w:p>
        </w:tc>
        <w:tc>
          <w:tcPr>
            <w:tcW w:type="dxa" w:w="18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bCs/>
                <w:color w:val="1A1A1A"/>
                <w:sz w:val="18"/>
                <w:szCs w:val="18"/>
              </w:rPr>
              <w:t xml:space="preserve">$3,000</w:t>
            </w:r>
          </w:p>
        </w:tc>
      </w:tr>
      <w:tr>
        <w:tc>
          <w:tcPr>
            <w:tcW w:type="dxa" w:w="1200"/>
            <w:tcBorders>
              <w:top w:val="single" w:color="D0D5DD" w:sz="1"/>
              <w:left w:val="single" w:color="D0D5DD" w:sz="1"/>
              <w:bottom w:val="single" w:color="D0D5DD" w:sz="1"/>
              <w:right w:val="single" w:color="D0D5DD" w:sz="1"/>
            </w:tcBorders>
            <w:shd w:fill="F0FDF4"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
            </w:r>
          </w:p>
        </w:tc>
        <w:tc>
          <w:tcPr>
            <w:tcW w:type="dxa" w:w="3000"/>
            <w:tcBorders>
              <w:top w:val="single" w:color="D0D5DD" w:sz="1"/>
              <w:left w:val="single" w:color="D0D5DD" w:sz="1"/>
              <w:bottom w:val="single" w:color="D0D5DD" w:sz="1"/>
              <w:right w:val="single" w:color="D0D5DD" w:sz="1"/>
            </w:tcBorders>
            <w:shd w:fill="F0FDF4"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
            </w:r>
          </w:p>
        </w:tc>
        <w:tc>
          <w:tcPr>
            <w:tcW w:type="dxa" w:w="1800"/>
            <w:tcBorders>
              <w:top w:val="single" w:color="D0D5DD" w:sz="1"/>
              <w:left w:val="single" w:color="D0D5DD" w:sz="1"/>
              <w:bottom w:val="single" w:color="D0D5DD" w:sz="1"/>
              <w:right w:val="single" w:color="D0D5DD" w:sz="1"/>
            </w:tcBorders>
            <w:shd w:fill="F0FDF4"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
            </w:r>
          </w:p>
        </w:tc>
        <w:tc>
          <w:tcPr>
            <w:tcW w:type="dxa" w:w="1560"/>
            <w:tcBorders>
              <w:top w:val="single" w:color="D0D5DD" w:sz="1"/>
              <w:left w:val="single" w:color="D0D5DD" w:sz="1"/>
              <w:bottom w:val="single" w:color="D0D5DD" w:sz="1"/>
              <w:right w:val="single" w:color="D0D5DD" w:sz="1"/>
            </w:tcBorders>
            <w:shd w:fill="F0FDF4" w:val="clear"/>
            <w:tcMar>
              <w:top w:type="dxa" w:w="80"/>
              <w:left w:type="dxa" w:w="120"/>
              <w:bottom w:type="dxa" w:w="80"/>
              <w:right w:type="dxa" w:w="120"/>
            </w:tcMar>
            <w:vAlign w:val="center"/>
          </w:tcPr>
          <w:p>
            <w:pPr>
              <w:spacing w:after="40" w:before="40"/>
              <w:jc w:val="left"/>
            </w:pPr>
            <w:r>
              <w:rPr>
                <w:rFonts w:ascii="Arial" w:cs="Arial" w:eastAsia="Arial" w:hAnsi="Arial"/>
                <w:b/>
                <w:bCs/>
                <w:color w:val="16A34A"/>
                <w:sz w:val="18"/>
                <w:szCs w:val="18"/>
              </w:rPr>
              <w:t xml:space="preserve">All Phases Bundle (15% off)</w:t>
            </w:r>
          </w:p>
        </w:tc>
        <w:tc>
          <w:tcPr>
            <w:tcW w:type="dxa" w:w="1800"/>
            <w:tcBorders>
              <w:top w:val="single" w:color="D0D5DD" w:sz="1"/>
              <w:left w:val="single" w:color="D0D5DD" w:sz="1"/>
              <w:bottom w:val="single" w:color="D0D5DD" w:sz="1"/>
              <w:right w:val="single" w:color="D0D5DD" w:sz="1"/>
            </w:tcBorders>
            <w:shd w:fill="F0FDF4" w:val="clear"/>
            <w:tcMar>
              <w:top w:type="dxa" w:w="80"/>
              <w:left w:type="dxa" w:w="120"/>
              <w:bottom w:type="dxa" w:w="80"/>
              <w:right w:type="dxa" w:w="120"/>
            </w:tcMar>
            <w:vAlign w:val="center"/>
          </w:tcPr>
          <w:p>
            <w:pPr>
              <w:spacing w:after="40" w:before="40"/>
              <w:jc w:val="right"/>
            </w:pPr>
            <w:r>
              <w:rPr>
                <w:rFonts w:ascii="Arial" w:cs="Arial" w:eastAsia="Arial" w:hAnsi="Arial"/>
                <w:b/>
                <w:bCs/>
                <w:color w:val="16A34A"/>
                <w:sz w:val="18"/>
                <w:szCs w:val="18"/>
              </w:rPr>
              <w:t xml:space="preserve">$2,550</w:t>
            </w:r>
          </w:p>
        </w:tc>
      </w:tr>
    </w:tbl>
    <w:p>
      <w:r>
        <w:br w:type="page"/>
      </w:r>
    </w:p>
    <w:p>
      <w:pPr>
        <w:spacing w:after="120" w:before="240"/>
      </w:pPr>
      <w:r>
        <w:rPr>
          <w:rFonts w:ascii="Arial" w:cs="Arial" w:eastAsia="Arial" w:hAnsi="Arial"/>
          <w:b/>
          <w:bCs/>
          <w:color w:val="1B3A5C"/>
          <w:sz w:val="22"/>
          <w:szCs w:val="22"/>
        </w:rPr>
        <w:t xml:space="preserve">12-Month Financial Projection (Option A — Architecture + Coaching)</w:t>
      </w:r>
    </w:p>
    <w:p>
      <w:pPr>
        <w:spacing w:after="120" w:before="80" w:line="276"/>
      </w:pPr>
      <w:r>
        <w:rPr>
          <w:rFonts w:ascii="Arial" w:cs="Arial" w:eastAsia="Arial" w:hAnsi="Arial"/>
          <w:color w:val="1A1A1A"/>
          <w:sz w:val="21"/>
          <w:szCs w:val="21"/>
        </w:rPr>
        <w:t xml:space="preserve">This projection uses the midpoint of all estimated ranges and assumes Phase 1 begins in Month 1, Phase 2 in Month 2, and Phase 3 in Month 4. Savings compound as each phase’s workflows come online.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700"/>
        <w:gridCol w:w="1700"/>
        <w:gridCol w:w="1700"/>
        <w:gridCol w:w="1560"/>
        <w:gridCol w:w="1600"/>
      </w:tblGrid>
      <w:tr>
        <w:trPr>
          <w:tblHeader/>
        </w:trPr>
        <w:tc>
          <w:tcPr>
            <w:tcW w:type="dxa" w:w="11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left"/>
            </w:pPr>
            <w:r>
              <w:rPr>
                <w:rFonts w:ascii="Arial" w:cs="Arial" w:eastAsia="Arial" w:hAnsi="Arial"/>
                <w:b/>
                <w:bCs/>
                <w:color w:val="FFFFFF"/>
                <w:sz w:val="18"/>
                <w:szCs w:val="18"/>
              </w:rPr>
              <w:t xml:space="preserve">Month</w:t>
            </w:r>
          </w:p>
        </w:tc>
        <w:tc>
          <w:tcPr>
            <w:tcW w:type="dxa" w:w="17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right"/>
            </w:pPr>
            <w:r>
              <w:rPr>
                <w:rFonts w:ascii="Arial" w:cs="Arial" w:eastAsia="Arial" w:hAnsi="Arial"/>
                <w:b/>
                <w:bCs/>
                <w:color w:val="FFFFFF"/>
                <w:sz w:val="18"/>
                <w:szCs w:val="18"/>
              </w:rPr>
              <w:t xml:space="preserve">Investment</w:t>
            </w:r>
          </w:p>
        </w:tc>
        <w:tc>
          <w:tcPr>
            <w:tcW w:type="dxa" w:w="17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right"/>
            </w:pPr>
            <w:r>
              <w:rPr>
                <w:rFonts w:ascii="Arial" w:cs="Arial" w:eastAsia="Arial" w:hAnsi="Arial"/>
                <w:b/>
                <w:bCs/>
                <w:color w:val="FFFFFF"/>
                <w:sz w:val="18"/>
                <w:szCs w:val="18"/>
              </w:rPr>
              <w:t xml:space="preserve">Monthly Savings</w:t>
            </w:r>
          </w:p>
        </w:tc>
        <w:tc>
          <w:tcPr>
            <w:tcW w:type="dxa" w:w="17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right"/>
            </w:pPr>
            <w:r>
              <w:rPr>
                <w:rFonts w:ascii="Arial" w:cs="Arial" w:eastAsia="Arial" w:hAnsi="Arial"/>
                <w:b/>
                <w:bCs/>
                <w:color w:val="FFFFFF"/>
                <w:sz w:val="18"/>
                <w:szCs w:val="18"/>
              </w:rPr>
              <w:t xml:space="preserve">Cumulative Savings</w:t>
            </w:r>
          </w:p>
        </w:tc>
        <w:tc>
          <w:tcPr>
            <w:tcW w:type="dxa" w:w="156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right"/>
            </w:pPr>
            <w:r>
              <w:rPr>
                <w:rFonts w:ascii="Arial" w:cs="Arial" w:eastAsia="Arial" w:hAnsi="Arial"/>
                <w:b/>
                <w:bCs/>
                <w:color w:val="FFFFFF"/>
                <w:sz w:val="18"/>
                <w:szCs w:val="18"/>
              </w:rPr>
              <w:t xml:space="preserve">Net Position</w:t>
            </w:r>
          </w:p>
        </w:tc>
        <w:tc>
          <w:tcPr>
            <w:tcW w:type="dxa" w:w="16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jc w:val="left"/>
            </w:pPr>
            <w:r>
              <w:rPr>
                <w:rFonts w:ascii="Arial" w:cs="Arial" w:eastAsia="Arial" w:hAnsi="Arial"/>
                <w:b/>
                <w:bCs/>
                <w:color w:val="FFFFFF"/>
                <w:sz w:val="18"/>
                <w:szCs w:val="18"/>
              </w:rPr>
              <w:t xml:space="preserve">Status</w:t>
            </w:r>
          </w:p>
        </w:tc>
      </w:tr>
      <w:tr>
        <w:tc>
          <w:tcPr>
            <w:tcW w:type="dxa" w:w="11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bCs/>
                <w:color w:val="1A1A1A"/>
                <w:sz w:val="18"/>
                <w:szCs w:val="18"/>
              </w:rPr>
              <w:t xml:space="preserve">Month 1</w:t>
            </w:r>
          </w:p>
        </w:tc>
        <w:tc>
          <w:tcPr>
            <w:tcW w:type="dxa" w:w="17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$1,800</w:t>
            </w:r>
          </w:p>
        </w:tc>
        <w:tc>
          <w:tcPr>
            <w:tcW w:type="dxa" w:w="17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$0</w:t>
            </w:r>
          </w:p>
        </w:tc>
        <w:tc>
          <w:tcPr>
            <w:tcW w:type="dxa" w:w="17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$0</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bCs/>
                <w:color w:val="DC3545"/>
                <w:sz w:val="18"/>
                <w:szCs w:val="18"/>
              </w:rPr>
              <w:t xml:space="preserve">-$1,800</w:t>
            </w:r>
          </w:p>
        </w:tc>
        <w:tc>
          <w:tcPr>
            <w:tcW w:type="dxa" w:w="16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Phase 1 build</w:t>
            </w:r>
          </w:p>
        </w:tc>
      </w:tr>
      <w:tr>
        <w:tc>
          <w:tcPr>
            <w:tcW w:type="dxa" w:w="11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bCs/>
                <w:color w:val="1A1A1A"/>
                <w:sz w:val="18"/>
                <w:szCs w:val="18"/>
              </w:rPr>
              <w:t xml:space="preserve">Month 2</w:t>
            </w:r>
          </w:p>
        </w:tc>
        <w:tc>
          <w:tcPr>
            <w:tcW w:type="dxa" w:w="17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$2,400</w:t>
            </w:r>
          </w:p>
        </w:tc>
        <w:tc>
          <w:tcPr>
            <w:tcW w:type="dxa" w:w="17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$2,350</w:t>
            </w:r>
          </w:p>
        </w:tc>
        <w:tc>
          <w:tcPr>
            <w:tcW w:type="dxa" w:w="17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$2,350</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bCs/>
                <w:color w:val="DC3545"/>
                <w:sz w:val="18"/>
                <w:szCs w:val="18"/>
              </w:rPr>
              <w:t xml:space="preserve">-$1,850</w:t>
            </w:r>
          </w:p>
        </w:tc>
        <w:tc>
          <w:tcPr>
            <w:tcW w:type="dxa" w:w="16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Phase 1 live / Phase 2 build</w:t>
            </w:r>
          </w:p>
        </w:tc>
      </w:tr>
      <w:tr>
        <w:tc>
          <w:tcPr>
            <w:tcW w:type="dxa" w:w="11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bCs/>
                <w:color w:val="1A1A1A"/>
                <w:sz w:val="18"/>
                <w:szCs w:val="18"/>
              </w:rPr>
              <w:t xml:space="preserve">Month 3</w:t>
            </w:r>
          </w:p>
        </w:tc>
        <w:tc>
          <w:tcPr>
            <w:tcW w:type="dxa" w:w="17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$0</w:t>
            </w:r>
          </w:p>
        </w:tc>
        <w:tc>
          <w:tcPr>
            <w:tcW w:type="dxa" w:w="17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$2,350</w:t>
            </w:r>
          </w:p>
        </w:tc>
        <w:tc>
          <w:tcPr>
            <w:tcW w:type="dxa" w:w="17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$4,700</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bCs/>
                <w:color w:val="16A34A"/>
                <w:sz w:val="18"/>
                <w:szCs w:val="18"/>
              </w:rPr>
              <w:t xml:space="preserve">$500</w:t>
            </w:r>
          </w:p>
        </w:tc>
        <w:tc>
          <w:tcPr>
            <w:tcW w:type="dxa" w:w="16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Phase 2 completing</w:t>
            </w:r>
          </w:p>
        </w:tc>
      </w:tr>
      <w:tr>
        <w:tc>
          <w:tcPr>
            <w:tcW w:type="dxa" w:w="11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bCs/>
                <w:color w:val="1A1A1A"/>
                <w:sz w:val="18"/>
                <w:szCs w:val="18"/>
              </w:rPr>
              <w:t xml:space="preserve">Month 4</w:t>
            </w:r>
          </w:p>
        </w:tc>
        <w:tc>
          <w:tcPr>
            <w:tcW w:type="dxa" w:w="17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$1,600</w:t>
            </w:r>
          </w:p>
        </w:tc>
        <w:tc>
          <w:tcPr>
            <w:tcW w:type="dxa" w:w="17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$7,150</w:t>
            </w:r>
          </w:p>
        </w:tc>
        <w:tc>
          <w:tcPr>
            <w:tcW w:type="dxa" w:w="17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$11,850</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bCs/>
                <w:color w:val="16A34A"/>
                <w:sz w:val="18"/>
                <w:szCs w:val="18"/>
              </w:rPr>
              <w:t xml:space="preserve">$6,050</w:t>
            </w:r>
          </w:p>
        </w:tc>
        <w:tc>
          <w:tcPr>
            <w:tcW w:type="dxa" w:w="16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Phase 2 live / Phase 3 build</w:t>
            </w:r>
          </w:p>
        </w:tc>
      </w:tr>
      <w:tr>
        <w:tc>
          <w:tcPr>
            <w:tcW w:type="dxa" w:w="11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bCs/>
                <w:color w:val="1A1A1A"/>
                <w:sz w:val="18"/>
                <w:szCs w:val="18"/>
              </w:rPr>
              <w:t xml:space="preserve">Month 5</w:t>
            </w:r>
          </w:p>
        </w:tc>
        <w:tc>
          <w:tcPr>
            <w:tcW w:type="dxa" w:w="17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$0</w:t>
            </w:r>
          </w:p>
        </w:tc>
        <w:tc>
          <w:tcPr>
            <w:tcW w:type="dxa" w:w="17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$7,150</w:t>
            </w:r>
          </w:p>
        </w:tc>
        <w:tc>
          <w:tcPr>
            <w:tcW w:type="dxa" w:w="17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$19,000</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bCs/>
                <w:color w:val="16A34A"/>
                <w:sz w:val="18"/>
                <w:szCs w:val="18"/>
              </w:rPr>
              <w:t xml:space="preserve">$13,200</w:t>
            </w:r>
          </w:p>
        </w:tc>
        <w:tc>
          <w:tcPr>
            <w:tcW w:type="dxa" w:w="16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Phase 3 completing</w:t>
            </w:r>
          </w:p>
        </w:tc>
      </w:tr>
      <w:tr>
        <w:tc>
          <w:tcPr>
            <w:tcW w:type="dxa" w:w="11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bCs/>
                <w:color w:val="1A1A1A"/>
                <w:sz w:val="18"/>
                <w:szCs w:val="18"/>
              </w:rPr>
              <w:t xml:space="preserve">Month 6</w:t>
            </w:r>
          </w:p>
        </w:tc>
        <w:tc>
          <w:tcPr>
            <w:tcW w:type="dxa" w:w="17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$0</w:t>
            </w:r>
          </w:p>
        </w:tc>
        <w:tc>
          <w:tcPr>
            <w:tcW w:type="dxa" w:w="17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$10,600</w:t>
            </w:r>
          </w:p>
        </w:tc>
        <w:tc>
          <w:tcPr>
            <w:tcW w:type="dxa" w:w="17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$29,600</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bCs/>
                <w:color w:val="16A34A"/>
                <w:sz w:val="18"/>
                <w:szCs w:val="18"/>
              </w:rPr>
              <w:t xml:space="preserve">$23,800</w:t>
            </w:r>
          </w:p>
        </w:tc>
        <w:tc>
          <w:tcPr>
            <w:tcW w:type="dxa" w:w="16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All phases live</w:t>
            </w:r>
          </w:p>
        </w:tc>
      </w:tr>
      <w:tr>
        <w:tc>
          <w:tcPr>
            <w:tcW w:type="dxa" w:w="11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bCs/>
                <w:color w:val="1A1A1A"/>
                <w:sz w:val="18"/>
                <w:szCs w:val="18"/>
              </w:rPr>
              <w:t xml:space="preserve">Month 9</w:t>
            </w:r>
          </w:p>
        </w:tc>
        <w:tc>
          <w:tcPr>
            <w:tcW w:type="dxa" w:w="17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$0</w:t>
            </w:r>
          </w:p>
        </w:tc>
        <w:tc>
          <w:tcPr>
            <w:tcW w:type="dxa" w:w="17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$10,600</w:t>
            </w:r>
          </w:p>
        </w:tc>
        <w:tc>
          <w:tcPr>
            <w:tcW w:type="dxa" w:w="17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$61,400</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right"/>
            </w:pPr>
            <w:r>
              <w:rPr>
                <w:rFonts w:ascii="Arial" w:cs="Arial" w:eastAsia="Arial" w:hAnsi="Arial"/>
                <w:b/>
                <w:bCs/>
                <w:color w:val="16A34A"/>
                <w:sz w:val="18"/>
                <w:szCs w:val="18"/>
              </w:rPr>
              <w:t xml:space="preserve">$55,600</w:t>
            </w:r>
          </w:p>
        </w:tc>
        <w:tc>
          <w:tcPr>
            <w:tcW w:type="dxa" w:w="16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Steady state</w:t>
            </w:r>
          </w:p>
        </w:tc>
      </w:tr>
      <w:tr>
        <w:tc>
          <w:tcPr>
            <w:tcW w:type="dxa" w:w="11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bCs/>
                <w:color w:val="1A1A1A"/>
                <w:sz w:val="18"/>
                <w:szCs w:val="18"/>
              </w:rPr>
              <w:t xml:space="preserve">Month 12</w:t>
            </w:r>
          </w:p>
        </w:tc>
        <w:tc>
          <w:tcPr>
            <w:tcW w:type="dxa" w:w="17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$0</w:t>
            </w:r>
          </w:p>
        </w:tc>
        <w:tc>
          <w:tcPr>
            <w:tcW w:type="dxa" w:w="17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$10,600</w:t>
            </w:r>
          </w:p>
        </w:tc>
        <w:tc>
          <w:tcPr>
            <w:tcW w:type="dxa" w:w="17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val="false"/>
                <w:bCs w:val="false"/>
                <w:color w:val="1A1A1A"/>
                <w:sz w:val="18"/>
                <w:szCs w:val="18"/>
              </w:rPr>
              <w:t xml:space="preserve">$93,200</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right"/>
            </w:pPr>
            <w:r>
              <w:rPr>
                <w:rFonts w:ascii="Arial" w:cs="Arial" w:eastAsia="Arial" w:hAnsi="Arial"/>
                <w:b/>
                <w:bCs/>
                <w:color w:val="16A34A"/>
                <w:sz w:val="18"/>
                <w:szCs w:val="18"/>
              </w:rPr>
              <w:t xml:space="preserve">$87,400</w:t>
            </w:r>
          </w:p>
        </w:tc>
        <w:tc>
          <w:tcPr>
            <w:tcW w:type="dxa" w:w="16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jc w:val="left"/>
            </w:pPr>
            <w:r>
              <w:rPr>
                <w:rFonts w:ascii="Arial" w:cs="Arial" w:eastAsia="Arial" w:hAnsi="Arial"/>
                <w:b w:val="false"/>
                <w:bCs w:val="false"/>
                <w:color w:val="1A1A1A"/>
                <w:sz w:val="18"/>
                <w:szCs w:val="18"/>
              </w:rPr>
              <w:t xml:space="preserve">Steady state</w:t>
            </w:r>
          </w:p>
        </w:tc>
      </w:tr>
    </w:tbl>
    <w:p>
      <w:pPr>
        <w:spacing w:after="120" w:before="80" w:line="276"/>
      </w:pPr>
      <w:r>
        <w:rPr>
          <w:rFonts w:ascii="Arial" w:cs="Arial" w:eastAsia="Arial" w:hAnsi="Arial"/>
          <w:b/>
          <w:bCs/>
          <w:color w:val="16A34A"/>
          <w:sz w:val="21"/>
          <w:szCs w:val="21"/>
        </w:rPr>
        <w:t xml:space="preserve">The investment breaks even in Month 3. </w:t>
      </w:r>
      <w:r>
        <w:rPr>
          <w:rFonts w:ascii="Arial" w:cs="Arial" w:eastAsia="Arial" w:hAnsi="Arial"/>
          <w:color w:val="1A1A1A"/>
          <w:sz w:val="21"/>
          <w:szCs w:val="21"/>
        </w:rPr>
        <w:t xml:space="preserve">By Month 12, the projected net return on a $5,800 investment is $87,400—a 15x return. Even at the conservative end of all estimates, the payback period does not exceed two months.</w:t>
      </w:r>
    </w:p>
    <w:p>
      <w:pPr>
        <w:pBdr>
          <w:bottom w:val="single" w:color="2E75B6" w:sz="4" w:space="8"/>
        </w:pBdr>
        <w:spacing w:after="200" w:before="200"/>
      </w:pPr>
    </w:p>
    <w:p>
      <w:pPr>
        <w:pStyle w:val="Heading1"/>
        <w:spacing w:after="200" w:before="240"/>
      </w:pPr>
      <w:r>
        <w:rPr>
          <w:rFonts w:ascii="Arial" w:cs="Arial" w:eastAsia="Arial" w:hAnsi="Arial"/>
          <w:b/>
          <w:bCs/>
          <w:color w:val="1B3A5C"/>
          <w:sz w:val="32"/>
          <w:szCs w:val="32"/>
        </w:rPr>
        <w:t xml:space="preserve">Strategic Upside</w:t>
      </w:r>
    </w:p>
    <w:p>
      <w:pPr>
        <w:spacing w:after="120" w:before="80" w:line="276"/>
      </w:pPr>
      <w:r>
        <w:rPr>
          <w:rFonts w:ascii="Arial" w:cs="Arial" w:eastAsia="Arial" w:hAnsi="Arial"/>
          <w:color w:val="1A1A1A"/>
          <w:sz w:val="21"/>
          <w:szCs w:val="21"/>
        </w:rPr>
        <w:t xml:space="preserve">Beyond the financial projections, full implementation unlocks five capabilities that don’t show up in a spreadsheet:</w:t>
      </w:r>
    </w:p>
    <w:p>
      <w:pPr>
        <w:pBdr>
          <w:left w:val="single" w:color="2E75B6" w:sz="8" w:space="8"/>
        </w:pBdr>
        <w:spacing w:after="100" w:before="100"/>
        <w:ind w:left="360" w:right="360"/>
      </w:pPr>
      <w:r>
        <w:rPr>
          <w:rFonts w:ascii="Arial" w:cs="Arial" w:eastAsia="Arial" w:hAnsi="Arial"/>
          <w:b/>
          <w:bCs/>
          <w:color w:val="1B3A5C"/>
          <w:sz w:val="20"/>
          <w:szCs w:val="20"/>
        </w:rPr>
        <w:t xml:space="preserve">Capacity to scale without hiring.  </w:t>
      </w:r>
      <w:r>
        <w:rPr>
          <w:rFonts w:ascii="Arial" w:cs="Arial" w:eastAsia="Arial" w:hAnsi="Arial"/>
          <w:color w:val="1A1A1A"/>
          <w:sz w:val="20"/>
          <w:szCs w:val="20"/>
        </w:rPr>
        <w:t xml:space="preserve">Automated lead capture, follow-up, and scheduling mean Swift can handle 2–3x his current volume without adding team members or burning out on administrative work.</w:t>
      </w:r>
    </w:p>
    <w:p>
      <w:pPr>
        <w:pBdr>
          <w:left w:val="single" w:color="2E75B6" w:sz="8" w:space="8"/>
        </w:pBdr>
        <w:spacing w:after="100" w:before="100"/>
        <w:ind w:left="360" w:right="360"/>
      </w:pPr>
      <w:r>
        <w:rPr>
          <w:rFonts w:ascii="Arial" w:cs="Arial" w:eastAsia="Arial" w:hAnsi="Arial"/>
          <w:b/>
          <w:bCs/>
          <w:color w:val="1B3A5C"/>
          <w:sz w:val="20"/>
          <w:szCs w:val="20"/>
        </w:rPr>
        <w:t xml:space="preserve">Confidence to play offense.  </w:t>
      </w:r>
      <w:r>
        <w:rPr>
          <w:rFonts w:ascii="Arial" w:cs="Arial" w:eastAsia="Arial" w:hAnsi="Arial"/>
          <w:color w:val="1A1A1A"/>
          <w:sz w:val="20"/>
          <w:szCs w:val="20"/>
        </w:rPr>
        <w:t xml:space="preserve">Swift can post content, run ads, and promote offers knowing the backend will convert attention into pipeline—eliminating the hesitation that has kept marketing efforts conservative.</w:t>
      </w:r>
    </w:p>
    <w:p>
      <w:pPr>
        <w:pBdr>
          <w:left w:val="single" w:color="2E75B6" w:sz="8" w:space="8"/>
        </w:pBdr>
        <w:spacing w:after="100" w:before="100"/>
        <w:ind w:left="360" w:right="360"/>
      </w:pPr>
      <w:r>
        <w:rPr>
          <w:rFonts w:ascii="Arial" w:cs="Arial" w:eastAsia="Arial" w:hAnsi="Arial"/>
          <w:b/>
          <w:bCs/>
          <w:color w:val="1B3A5C"/>
          <w:sz w:val="20"/>
          <w:szCs w:val="20"/>
        </w:rPr>
        <w:t xml:space="preserve">Recurring revenue foundation.  </w:t>
      </w:r>
      <w:r>
        <w:rPr>
          <w:rFonts w:ascii="Arial" w:cs="Arial" w:eastAsia="Arial" w:hAnsi="Arial"/>
          <w:color w:val="1A1A1A"/>
          <w:sz w:val="20"/>
          <w:szCs w:val="20"/>
        </w:rPr>
        <w:t xml:space="preserve">The webinar-to-course funnel creates Boss Heavy’s first revenue stream that isn’t directly tied to Swift’s time, shifting the business model from purely service-based to a hybrid of services and digital products.</w:t>
      </w:r>
    </w:p>
    <w:p>
      <w:pPr>
        <w:pBdr>
          <w:left w:val="single" w:color="2E75B6" w:sz="8" w:space="8"/>
        </w:pBdr>
        <w:spacing w:after="100" w:before="100"/>
        <w:ind w:left="360" w:right="360"/>
      </w:pPr>
      <w:r>
        <w:rPr>
          <w:rFonts w:ascii="Arial" w:cs="Arial" w:eastAsia="Arial" w:hAnsi="Arial"/>
          <w:b/>
          <w:bCs/>
          <w:color w:val="1B3A5C"/>
          <w:sz w:val="20"/>
          <w:szCs w:val="20"/>
        </w:rPr>
        <w:t xml:space="preserve">Platform mastery.  </w:t>
      </w:r>
      <w:r>
        <w:rPr>
          <w:rFonts w:ascii="Arial" w:cs="Arial" w:eastAsia="Arial" w:hAnsi="Arial"/>
          <w:color w:val="1A1A1A"/>
          <w:sz w:val="20"/>
          <w:szCs w:val="20"/>
        </w:rPr>
        <w:t xml:space="preserve">Through the coaching engagement, Swift gains the GHL knowledge to build, modify, and troubleshoot his own automations going forward—eliminating dependence on external help for future needs.</w:t>
      </w:r>
    </w:p>
    <w:p>
      <w:pPr>
        <w:pBdr>
          <w:left w:val="single" w:color="2E75B6" w:sz="8" w:space="8"/>
        </w:pBdr>
        <w:spacing w:after="100" w:before="100"/>
        <w:ind w:left="360" w:right="360"/>
      </w:pPr>
      <w:r>
        <w:rPr>
          <w:rFonts w:ascii="Arial" w:cs="Arial" w:eastAsia="Arial" w:hAnsi="Arial"/>
          <w:b/>
          <w:bCs/>
          <w:color w:val="1B3A5C"/>
          <w:sz w:val="20"/>
          <w:szCs w:val="20"/>
        </w:rPr>
        <w:t xml:space="preserve">Professional client experience.  </w:t>
      </w:r>
      <w:r>
        <w:rPr>
          <w:rFonts w:ascii="Arial" w:cs="Arial" w:eastAsia="Arial" w:hAnsi="Arial"/>
          <w:color w:val="1A1A1A"/>
          <w:sz w:val="20"/>
          <w:szCs w:val="20"/>
        </w:rPr>
        <w:t xml:space="preserve">Every prospect touchpoint—from first click to onboarding—becomes consistent, branded, and responsive, reflecting the quality of Swift’s creative work in how the business operates.</w:t>
      </w:r>
    </w:p>
    <w:p>
      <w:pPr>
        <w:pBdr>
          <w:bottom w:val="single" w:color="2E75B6" w:sz="4" w:space="8"/>
        </w:pBdr>
        <w:spacing w:after="200" w:before="200"/>
      </w:pPr>
    </w:p>
    <w:p>
      <w:pPr>
        <w:pStyle w:val="Heading1"/>
        <w:spacing w:after="200" w:before="240"/>
      </w:pPr>
      <w:r>
        <w:rPr>
          <w:rFonts w:ascii="Arial" w:cs="Arial" w:eastAsia="Arial" w:hAnsi="Arial"/>
          <w:b/>
          <w:bCs/>
          <w:color w:val="1B3A5C"/>
          <w:sz w:val="32"/>
          <w:szCs w:val="32"/>
        </w:rPr>
        <w:t xml:space="preserve">Assumptions &amp; Risk Factors</w:t>
      </w:r>
    </w:p>
    <w:p>
      <w:pPr>
        <w:spacing w:after="80" w:before="120"/>
      </w:pPr>
      <w:r>
        <w:rPr>
          <w:rFonts w:ascii="Arial" w:cs="Arial" w:eastAsia="Arial" w:hAnsi="Arial"/>
          <w:b/>
          <w:bCs/>
          <w:color w:val="1B3A5C"/>
          <w:sz w:val="22"/>
          <w:szCs w:val="22"/>
        </w:rPr>
        <w:t xml:space="preserve">Key Assumptions</w:t>
      </w:r>
    </w:p>
    <w:p>
      <w:pPr>
        <w:pBdr>
          <w:left w:val="single" w:color="D0D5DD" w:sz="4" w:space="8"/>
        </w:pBdr>
        <w:spacing w:after="40" w:before="40"/>
        <w:ind w:left="360"/>
      </w:pPr>
      <w:r>
        <w:rPr>
          <w:rFonts w:ascii="Arial" w:cs="Arial" w:eastAsia="Arial" w:hAnsi="Arial"/>
          <w:color w:val="1A1A1A"/>
          <w:sz w:val="19"/>
          <w:szCs w:val="19"/>
        </w:rPr>
        <w:t xml:space="preserve">Swift’s opportunity cost is valued at $75–$100/hour, derived from his retainer rate of $3,000–$5,000/month for approximately 40–50 hours of client-facing work.</w:t>
      </w:r>
    </w:p>
    <w:p>
      <w:pPr>
        <w:pBdr>
          <w:left w:val="single" w:color="D0D5DD" w:sz="4" w:space="8"/>
        </w:pBdr>
        <w:spacing w:after="40" w:before="40"/>
        <w:ind w:left="360"/>
      </w:pPr>
      <w:r>
        <w:rPr>
          <w:rFonts w:ascii="Arial" w:cs="Arial" w:eastAsia="Arial" w:hAnsi="Arial"/>
          <w:color w:val="1A1A1A"/>
          <w:sz w:val="19"/>
          <w:szCs w:val="19"/>
        </w:rPr>
        <w:t xml:space="preserve">Current inbound lead volume is estimated at 8–12 inquiries per month across Instagram, referrals, events, and direct outreach.</w:t>
      </w:r>
    </w:p>
    <w:p>
      <w:pPr>
        <w:pBdr>
          <w:left w:val="single" w:color="D0D5DD" w:sz="4" w:space="8"/>
        </w:pBdr>
        <w:spacing w:after="40" w:before="40"/>
        <w:ind w:left="360"/>
      </w:pPr>
      <w:r>
        <w:rPr>
          <w:rFonts w:ascii="Arial" w:cs="Arial" w:eastAsia="Arial" w:hAnsi="Arial"/>
          <w:color w:val="1A1A1A"/>
          <w:sz w:val="19"/>
          <w:szCs w:val="19"/>
        </w:rPr>
        <w:t xml:space="preserve">Automated follow-up improves lead-to-consultation conversion by 15–25%, based on industry benchmarks for service businesses implementing CRM-based nurture sequences.</w:t>
      </w:r>
    </w:p>
    <w:p>
      <w:pPr>
        <w:pBdr>
          <w:left w:val="single" w:color="D0D5DD" w:sz="4" w:space="8"/>
        </w:pBdr>
        <w:spacing w:after="40" w:before="40"/>
        <w:ind w:left="360"/>
      </w:pPr>
      <w:r>
        <w:rPr>
          <w:rFonts w:ascii="Arial" w:cs="Arial" w:eastAsia="Arial" w:hAnsi="Arial"/>
          <w:color w:val="1A1A1A"/>
          <w:sz w:val="19"/>
          <w:szCs w:val="19"/>
        </w:rPr>
        <w:t xml:space="preserve">Average new retainer client value is $4,000/month with a 90-day minimum commitment.</w:t>
      </w:r>
    </w:p>
    <w:p>
      <w:pPr>
        <w:pBdr>
          <w:left w:val="single" w:color="D0D5DD" w:sz="4" w:space="8"/>
        </w:pBdr>
        <w:spacing w:after="40" w:before="40"/>
        <w:ind w:left="360"/>
      </w:pPr>
      <w:r>
        <w:rPr>
          <w:rFonts w:ascii="Arial" w:cs="Arial" w:eastAsia="Arial" w:hAnsi="Arial"/>
          <w:color w:val="1A1A1A"/>
          <w:sz w:val="19"/>
          <w:szCs w:val="19"/>
        </w:rPr>
        <w:t xml:space="preserve">Headshot clinic capacity increases from sporadic (every 2–3 months) to monthly with a functioning funnel.</w:t>
      </w:r>
    </w:p>
    <w:p>
      <w:pPr>
        <w:pBdr>
          <w:left w:val="single" w:color="D0D5DD" w:sz="4" w:space="8"/>
        </w:pBdr>
        <w:spacing w:after="40" w:before="40"/>
        <w:ind w:left="360"/>
      </w:pPr>
      <w:r>
        <w:rPr>
          <w:rFonts w:ascii="Arial" w:cs="Arial" w:eastAsia="Arial" w:hAnsi="Arial"/>
          <w:color w:val="1A1A1A"/>
          <w:sz w:val="19"/>
          <w:szCs w:val="19"/>
        </w:rPr>
        <w:t xml:space="preserve">Webinar conversion rate of 2–3% of registrants is based on industry averages for mid-ticket ($497–$997) digital offers.</w:t>
      </w:r>
    </w:p>
    <w:p>
      <w:pPr>
        <w:pBdr>
          <w:left w:val="single" w:color="D0D5DD" w:sz="4" w:space="8"/>
        </w:pBdr>
        <w:spacing w:after="40" w:before="40"/>
        <w:ind w:left="360"/>
      </w:pPr>
      <w:r>
        <w:rPr>
          <w:rFonts w:ascii="Arial" w:cs="Arial" w:eastAsia="Arial" w:hAnsi="Arial"/>
          <w:color w:val="1A1A1A"/>
          <w:sz w:val="19"/>
          <w:szCs w:val="19"/>
        </w:rPr>
        <w:t xml:space="preserve">Third-party subscription costs (GHL at $100/month, Stripe processing fees) remain constant and are not included in savings calculations.</w:t>
      </w:r>
    </w:p>
    <w:p>
      <w:pPr>
        <w:spacing w:after="80" w:before="240"/>
      </w:pPr>
      <w:r>
        <w:rPr>
          <w:rFonts w:ascii="Arial" w:cs="Arial" w:eastAsia="Arial" w:hAnsi="Arial"/>
          <w:b/>
          <w:bCs/>
          <w:color w:val="1B3A5C"/>
          <w:sz w:val="22"/>
          <w:szCs w:val="22"/>
        </w:rPr>
        <w:t xml:space="preserve">Risk Factors</w:t>
      </w:r>
    </w:p>
    <w:p>
      <w:pPr>
        <w:pBdr>
          <w:left w:val="single" w:color="F59E0B" w:sz="8" w:space="8"/>
        </w:pBdr>
        <w:spacing w:after="80" w:before="80"/>
        <w:ind w:left="360" w:right="360"/>
      </w:pPr>
      <w:r>
        <w:rPr>
          <w:rFonts w:ascii="Arial" w:cs="Arial" w:eastAsia="Arial" w:hAnsi="Arial"/>
          <w:b/>
          <w:bCs/>
          <w:color w:val="1B3A5C"/>
          <w:sz w:val="20"/>
          <w:szCs w:val="20"/>
        </w:rPr>
        <w:t xml:space="preserve">Execution pace.  </w:t>
      </w:r>
      <w:r>
        <w:rPr>
          <w:rFonts w:ascii="Arial" w:cs="Arial" w:eastAsia="Arial" w:hAnsi="Arial"/>
          <w:color w:val="1A1A1A"/>
          <w:sz w:val="20"/>
          <w:szCs w:val="20"/>
        </w:rPr>
        <w:t xml:space="preserve">Projections assume consistent weekly progress. If implementation stalls between sessions or Swift’s schedule limits availability, timelines extend and savings are delayed proportionally.</w:t>
      </w:r>
    </w:p>
    <w:p>
      <w:pPr>
        <w:pBdr>
          <w:left w:val="single" w:color="F59E0B" w:sz="8" w:space="8"/>
        </w:pBdr>
        <w:spacing w:after="80" w:before="80"/>
        <w:ind w:left="360" w:right="360"/>
      </w:pPr>
      <w:r>
        <w:rPr>
          <w:rFonts w:ascii="Arial" w:cs="Arial" w:eastAsia="Arial" w:hAnsi="Arial"/>
          <w:b/>
          <w:bCs/>
          <w:color w:val="1B3A5C"/>
          <w:sz w:val="20"/>
          <w:szCs w:val="20"/>
        </w:rPr>
        <w:t xml:space="preserve">Lead volume dependency.  </w:t>
      </w:r>
      <w:r>
        <w:rPr>
          <w:rFonts w:ascii="Arial" w:cs="Arial" w:eastAsia="Arial" w:hAnsi="Arial"/>
          <w:color w:val="1A1A1A"/>
          <w:sz w:val="20"/>
          <w:szCs w:val="20"/>
        </w:rPr>
        <w:t xml:space="preserve">The largest savings come from converting leads that don’t currently exist in a system. If inbound volume doesn’t increase with more active marketing, the opportunity value projections narrow. The direct savings (time recovered) remain regardless.</w:t>
      </w:r>
    </w:p>
    <w:p>
      <w:pPr>
        <w:pBdr>
          <w:left w:val="single" w:color="F59E0B" w:sz="8" w:space="8"/>
        </w:pBdr>
        <w:spacing w:after="80" w:before="80"/>
        <w:ind w:left="360" w:right="360"/>
      </w:pPr>
      <w:r>
        <w:rPr>
          <w:rFonts w:ascii="Arial" w:cs="Arial" w:eastAsia="Arial" w:hAnsi="Arial"/>
          <w:b/>
          <w:bCs/>
          <w:color w:val="1B3A5C"/>
          <w:sz w:val="20"/>
          <w:szCs w:val="20"/>
        </w:rPr>
        <w:t xml:space="preserve">Platform learning curve.  </w:t>
      </w:r>
      <w:r>
        <w:rPr>
          <w:rFonts w:ascii="Arial" w:cs="Arial" w:eastAsia="Arial" w:hAnsi="Arial"/>
          <w:color w:val="1A1A1A"/>
          <w:sz w:val="20"/>
          <w:szCs w:val="20"/>
        </w:rPr>
        <w:t xml:space="preserve">GHL is a complex platform. The coaching model mitigates this risk, but the Architecture Only option carries higher execution risk if Swift encounters configuration challenges without live support.</w:t>
      </w:r>
    </w:p>
    <w:p>
      <w:pPr>
        <w:spacing w:before="400"/>
      </w:pPr>
    </w:p>
    <w:p>
      <w:pPr>
        <w:pBdr>
          <w:top w:val="single" w:color="2E75B6" w:sz="4" w:space="8"/>
        </w:pBdr>
        <w:spacing w:before="80"/>
        <w:jc w:val="center"/>
      </w:pPr>
      <w:r>
        <w:rPr>
          <w:rFonts w:ascii="Arial" w:cs="Arial" w:eastAsia="Arial" w:hAnsi="Arial"/>
          <w:i/>
          <w:iCs/>
          <w:color w:val="4A5568"/>
          <w:sz w:val="18"/>
          <w:szCs w:val="18"/>
        </w:rPr>
        <w:t xml:space="preserve">End of ROI &amp; Time Savings Projection  ·  Optumize Automation Consulting</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2" w:space="4"/>
      </w:pBdr>
      <w:tabs>
        <w:tab w:val="right" w:pos="9026"/>
      </w:tabs>
      <w:spacing w:before="0"/>
    </w:pPr>
    <w:r>
      <w:rPr>
        <w:rFonts w:ascii="Arial" w:cs="Arial" w:eastAsia="Arial" w:hAnsi="Arial"/>
        <w:color w:val="4A5568"/>
        <w:sz w:val="16"/>
        <w:szCs w:val="16"/>
      </w:rPr>
      <w:t xml:space="preserve">Confidential</w:t>
    </w:r>
    <w:r>
      <w:rPr>
        <w:rFonts w:ascii="Arial" w:cs="Arial" w:eastAsia="Arial" w:hAnsi="Arial"/>
        <w:color w:val="4A5568"/>
        <w:sz w:val="16"/>
        <w:szCs w:val="16"/>
      </w:rPr>
      <w:t xml:space="preserve">	Page </w:t>
    </w:r>
    <w:r>
      <w:rPr>
        <w:rFonts w:ascii="Arial" w:cs="Arial" w:eastAsia="Arial" w:hAnsi="Arial"/>
        <w:color w:val="4A556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2" w:space="4"/>
      </w:pBdr>
      <w:tabs>
        <w:tab w:val="right" w:pos="9026"/>
      </w:tabs>
      <w:spacing w:after="0"/>
    </w:pPr>
    <w:r>
      <w:rPr>
        <w:rFonts w:ascii="Arial" w:cs="Arial" w:eastAsia="Arial" w:hAnsi="Arial"/>
        <w:b/>
        <w:bCs/>
        <w:color w:val="2E75B6"/>
        <w:spacing w:val="100"/>
        <w:sz w:val="16"/>
        <w:szCs w:val="16"/>
      </w:rPr>
      <w:t xml:space="preserve">OPTUMIZE</w:t>
    </w:r>
    <w:r>
      <w:rPr>
        <w:rFonts w:ascii="Arial" w:cs="Arial" w:eastAsia="Arial" w:hAnsi="Arial"/>
        <w:color w:val="4A5568"/>
        <w:sz w:val="16"/>
        <w:szCs w:val="16"/>
      </w:rPr>
      <w:t xml:space="preserve">	ROI &amp; Time Savings  —  Boss Heavy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Arial" w:cs="Arial" w:eastAsia="Arial" w:hAnsi="Arial"/>
      <w:b/>
      <w:bCs/>
      <w:color w:val="1B3A5C"/>
      <w:sz w:val="32"/>
      <w:szCs w:val="32"/>
    </w:rPr>
  </w:style>
  <w:style w:type="paragraph" w:styleId="Heading2">
    <w:name w:val="Heading 2"/>
    <w:basedOn w:val="Normal"/>
    <w:next w:val="Normal"/>
    <w:qFormat/>
    <w:pPr>
      <w:spacing w:after="160" w:before="200"/>
      <w:outlineLvl w:val="1"/>
    </w:pPr>
    <w:rPr>
      <w:rFonts w:ascii="Arial" w:cs="Arial" w:eastAsia="Arial" w:hAnsi="Arial"/>
      <w:b/>
      <w:bCs/>
      <w:color w:val="1B3A5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2026-04-07T11:41:11.284Z</dcterms:created>
  <dcterms:modified xsi:type="dcterms:W3CDTF">2026-04-07T11:41:11.285Z</dcterms:modified>
</cp:coreProperties>
</file>

<file path=docProps/custom.xml><?xml version="1.0" encoding="utf-8"?>
<Properties xmlns="http://schemas.openxmlformats.org/officeDocument/2006/custom-properties" xmlns:vt="http://schemas.openxmlformats.org/officeDocument/2006/docPropsVTypes"/>
</file>